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D1141">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lang w:val="en-US" w:eastAsia="zh-CN"/>
        </w:rPr>
      </w:pPr>
      <w:bookmarkStart w:id="0" w:name="_Toc23682"/>
      <w:bookmarkStart w:id="1" w:name="_Toc7421872"/>
      <w:bookmarkStart w:id="2" w:name="_Toc81317635"/>
      <w:r>
        <w:rPr>
          <w:rFonts w:hint="eastAsia" w:asciiTheme="minorEastAsia" w:hAnsiTheme="minorEastAsia" w:eastAsiaTheme="minorEastAsia" w:cstheme="minorEastAsia"/>
          <w:sz w:val="48"/>
          <w:szCs w:val="48"/>
          <w:highlight w:val="none"/>
          <w:lang w:val="en-US" w:eastAsia="zh-CN"/>
        </w:rPr>
        <w:t>重庆市巴南建设（集团）有限公司</w:t>
      </w:r>
    </w:p>
    <w:p w14:paraId="0B2B4EC7">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u w:val="none"/>
          <w:lang w:val="en-US" w:eastAsia="zh-CN"/>
        </w:rPr>
      </w:pPr>
      <w:r>
        <w:rPr>
          <w:rFonts w:hint="eastAsia" w:asciiTheme="minorEastAsia" w:hAnsiTheme="minorEastAsia" w:eastAsiaTheme="minorEastAsia" w:cstheme="minorEastAsia"/>
          <w:sz w:val="48"/>
          <w:szCs w:val="48"/>
          <w:highlight w:val="none"/>
          <w:u w:val="single"/>
          <w:lang w:val="en-US" w:eastAsia="zh-CN"/>
        </w:rPr>
        <w:t xml:space="preserve"> 2023年巴南区农村公路水毁整治项目（新增灾损点）</w:t>
      </w:r>
      <w:r>
        <w:rPr>
          <w:rFonts w:hint="eastAsia" w:asciiTheme="minorEastAsia" w:hAnsiTheme="minorEastAsia" w:eastAsiaTheme="minorEastAsia" w:cstheme="minorEastAsia"/>
          <w:sz w:val="48"/>
          <w:szCs w:val="48"/>
          <w:highlight w:val="none"/>
          <w:u w:val="none"/>
          <w:lang w:val="en-US" w:eastAsia="zh-CN"/>
        </w:rPr>
        <w:t>项目</w:t>
      </w:r>
    </w:p>
    <w:p w14:paraId="5260204C">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default"/>
          <w:sz w:val="42"/>
          <w:szCs w:val="42"/>
          <w:u w:val="single"/>
          <w:lang w:val="en-US" w:eastAsia="zh-CN"/>
        </w:rPr>
      </w:pPr>
      <w:r>
        <w:rPr>
          <w:rFonts w:hint="eastAsia" w:asciiTheme="minorEastAsia" w:hAnsiTheme="minorEastAsia" w:eastAsiaTheme="minorEastAsia" w:cstheme="minorEastAsia"/>
          <w:sz w:val="48"/>
          <w:szCs w:val="48"/>
          <w:highlight w:val="none"/>
          <w:u w:val="single"/>
          <w:lang w:val="en-US" w:eastAsia="zh-CN"/>
        </w:rPr>
        <w:t xml:space="preserve"> 碎石、片石、河砂 </w:t>
      </w:r>
      <w:r>
        <w:rPr>
          <w:rFonts w:hint="eastAsia" w:asciiTheme="minorEastAsia" w:hAnsiTheme="minorEastAsia" w:eastAsiaTheme="minorEastAsia" w:cstheme="minorEastAsia"/>
          <w:sz w:val="48"/>
          <w:szCs w:val="48"/>
          <w:highlight w:val="none"/>
          <w:u w:val="none"/>
          <w:lang w:val="en-US" w:eastAsia="zh-CN"/>
        </w:rPr>
        <w:t>采购</w:t>
      </w:r>
    </w:p>
    <w:p w14:paraId="4471DAF6">
      <w:pPr>
        <w:jc w:val="both"/>
        <w:rPr>
          <w:rFonts w:hint="eastAsia"/>
          <w:sz w:val="56"/>
          <w:szCs w:val="56"/>
          <w:lang w:val="en-US" w:eastAsia="zh-CN"/>
        </w:rPr>
      </w:pPr>
    </w:p>
    <w:p w14:paraId="1C4CF061">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 xml:space="preserve">比 </w:t>
      </w:r>
    </w:p>
    <w:p w14:paraId="4E22D657">
      <w:pPr>
        <w:jc w:val="center"/>
        <w:rPr>
          <w:rFonts w:hint="eastAsia" w:ascii="宋体" w:hAnsi="宋体" w:eastAsia="宋体" w:cs="宋体"/>
          <w:b/>
          <w:bCs/>
          <w:sz w:val="60"/>
          <w:szCs w:val="60"/>
          <w:lang w:val="en-US" w:eastAsia="zh-CN"/>
        </w:rPr>
      </w:pPr>
    </w:p>
    <w:p w14:paraId="4EDB6A36">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 xml:space="preserve">选 </w:t>
      </w:r>
    </w:p>
    <w:p w14:paraId="64F1EFB0">
      <w:pPr>
        <w:jc w:val="center"/>
        <w:rPr>
          <w:rFonts w:hint="eastAsia" w:ascii="宋体" w:hAnsi="宋体" w:eastAsia="宋体" w:cs="宋体"/>
          <w:b/>
          <w:bCs/>
          <w:sz w:val="60"/>
          <w:szCs w:val="60"/>
          <w:lang w:val="en-US" w:eastAsia="zh-CN"/>
        </w:rPr>
      </w:pPr>
    </w:p>
    <w:p w14:paraId="0150C64B">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rPr>
        <w:t>文</w:t>
      </w:r>
      <w:r>
        <w:rPr>
          <w:rFonts w:hint="eastAsia" w:ascii="宋体" w:hAnsi="宋体" w:eastAsia="宋体" w:cs="宋体"/>
          <w:b/>
          <w:bCs/>
          <w:sz w:val="60"/>
          <w:szCs w:val="60"/>
          <w:lang w:val="en-US" w:eastAsia="zh-CN"/>
        </w:rPr>
        <w:t xml:space="preserve"> </w:t>
      </w:r>
    </w:p>
    <w:p w14:paraId="7C35AAB5">
      <w:pPr>
        <w:jc w:val="center"/>
        <w:rPr>
          <w:rFonts w:hint="eastAsia" w:ascii="宋体" w:hAnsi="宋体" w:eastAsia="宋体" w:cs="宋体"/>
          <w:b/>
          <w:bCs/>
          <w:sz w:val="60"/>
          <w:szCs w:val="60"/>
          <w:lang w:val="en-US" w:eastAsia="zh-CN"/>
        </w:rPr>
      </w:pPr>
    </w:p>
    <w:p w14:paraId="5E8E6B8A">
      <w:pPr>
        <w:jc w:val="center"/>
        <w:rPr>
          <w:rFonts w:hint="eastAsia" w:ascii="宋体" w:hAnsi="宋体" w:eastAsia="宋体" w:cs="宋体"/>
          <w:b/>
          <w:bCs/>
          <w:sz w:val="60"/>
          <w:szCs w:val="60"/>
        </w:rPr>
      </w:pPr>
      <w:r>
        <w:rPr>
          <w:rFonts w:hint="eastAsia" w:ascii="宋体" w:hAnsi="宋体" w:eastAsia="宋体" w:cs="宋体"/>
          <w:b/>
          <w:bCs/>
          <w:sz w:val="60"/>
          <w:szCs w:val="60"/>
        </w:rPr>
        <w:t>件</w:t>
      </w:r>
    </w:p>
    <w:p w14:paraId="5115CB8C">
      <w:pPr>
        <w:jc w:val="center"/>
        <w:rPr>
          <w:rFonts w:hint="eastAsia" w:ascii="黑体" w:hAnsi="黑体" w:eastAsia="黑体"/>
          <w:sz w:val="60"/>
          <w:szCs w:val="60"/>
        </w:rPr>
      </w:pPr>
    </w:p>
    <w:p w14:paraId="411935E3">
      <w:pPr>
        <w:jc w:val="center"/>
        <w:rPr>
          <w:rFonts w:hint="eastAsia" w:ascii="黑体" w:hAnsi="黑体" w:eastAsia="黑体"/>
          <w:sz w:val="60"/>
          <w:szCs w:val="60"/>
        </w:rPr>
      </w:pPr>
    </w:p>
    <w:p w14:paraId="6BD1A6C9">
      <w:pPr>
        <w:pStyle w:val="6"/>
        <w:rPr>
          <w:rFonts w:hint="eastAsia"/>
        </w:rPr>
      </w:pPr>
    </w:p>
    <w:p w14:paraId="3C439A06">
      <w:pPr>
        <w:jc w:val="both"/>
        <w:rPr>
          <w:rFonts w:hint="eastAsia" w:ascii="宋体" w:hAnsi="宋体" w:eastAsia="宋体" w:cs="宋体"/>
          <w:b w:val="0"/>
          <w:bCs w:val="0"/>
          <w:sz w:val="36"/>
          <w:szCs w:val="15"/>
          <w:u w:val="none"/>
          <w:lang w:val="en-US" w:eastAsia="zh-CN"/>
        </w:rPr>
      </w:pPr>
      <w:r>
        <w:rPr>
          <w:rFonts w:hint="eastAsia" w:ascii="宋体" w:hAnsi="宋体" w:eastAsia="宋体" w:cs="宋体"/>
          <w:b w:val="0"/>
          <w:bCs w:val="0"/>
          <w:sz w:val="36"/>
          <w:szCs w:val="15"/>
          <w:lang w:val="en-US" w:eastAsia="zh-CN"/>
        </w:rPr>
        <w:t>采 购 人：</w:t>
      </w:r>
      <w:r>
        <w:rPr>
          <w:rFonts w:hint="eastAsia" w:ascii="宋体" w:hAnsi="宋体" w:eastAsia="宋体" w:cs="宋体"/>
          <w:b w:val="0"/>
          <w:bCs w:val="0"/>
          <w:sz w:val="36"/>
          <w:szCs w:val="15"/>
          <w:u w:val="none"/>
          <w:lang w:val="en-US" w:eastAsia="zh-CN"/>
        </w:rPr>
        <w:t>重庆市巴南建设（集团）有限公司</w:t>
      </w:r>
    </w:p>
    <w:p w14:paraId="28762FB6">
      <w:pPr>
        <w:jc w:val="both"/>
        <w:rPr>
          <w:rFonts w:hint="eastAsia" w:ascii="宋体" w:hAnsi="宋体" w:eastAsia="宋体" w:cs="宋体"/>
          <w:b w:val="0"/>
          <w:bCs w:val="0"/>
          <w:sz w:val="36"/>
          <w:szCs w:val="15"/>
          <w:u w:val="none"/>
          <w:lang w:val="en-US" w:eastAsia="zh-CN"/>
        </w:rPr>
      </w:pPr>
      <w:r>
        <w:rPr>
          <w:rFonts w:hint="eastAsia" w:ascii="宋体" w:hAnsi="宋体" w:eastAsia="宋体" w:cs="宋体"/>
          <w:b w:val="0"/>
          <w:bCs w:val="0"/>
          <w:sz w:val="36"/>
          <w:szCs w:val="15"/>
          <w:u w:val="none"/>
          <w:lang w:val="en-US" w:eastAsia="zh-CN"/>
        </w:rPr>
        <w:t xml:space="preserve">日    期：  </w:t>
      </w:r>
      <w:r>
        <w:rPr>
          <w:rFonts w:hint="eastAsia" w:ascii="宋体" w:hAnsi="宋体" w:cs="宋体"/>
          <w:b w:val="0"/>
          <w:bCs w:val="0"/>
          <w:sz w:val="36"/>
          <w:szCs w:val="15"/>
          <w:u w:val="none"/>
          <w:lang w:val="en-US" w:eastAsia="zh-CN"/>
        </w:rPr>
        <w:t>2025</w:t>
      </w:r>
      <w:r>
        <w:rPr>
          <w:rFonts w:hint="eastAsia" w:ascii="宋体" w:hAnsi="宋体" w:eastAsia="宋体" w:cs="宋体"/>
          <w:b w:val="0"/>
          <w:bCs w:val="0"/>
          <w:sz w:val="36"/>
          <w:szCs w:val="15"/>
          <w:u w:val="none"/>
          <w:lang w:val="en-US" w:eastAsia="zh-CN"/>
        </w:rPr>
        <w:t>年</w:t>
      </w:r>
      <w:r>
        <w:rPr>
          <w:rFonts w:hint="eastAsia" w:ascii="宋体" w:hAnsi="宋体" w:cs="宋体"/>
          <w:b w:val="0"/>
          <w:bCs w:val="0"/>
          <w:sz w:val="36"/>
          <w:szCs w:val="15"/>
          <w:u w:val="none"/>
          <w:lang w:val="en-US" w:eastAsia="zh-CN"/>
        </w:rPr>
        <w:t>1</w:t>
      </w:r>
      <w:r>
        <w:rPr>
          <w:rFonts w:hint="eastAsia" w:ascii="宋体" w:hAnsi="宋体" w:eastAsia="宋体" w:cs="宋体"/>
          <w:b w:val="0"/>
          <w:bCs w:val="0"/>
          <w:sz w:val="36"/>
          <w:szCs w:val="15"/>
          <w:u w:val="none"/>
          <w:lang w:val="en-US" w:eastAsia="zh-CN"/>
        </w:rPr>
        <w:t>月</w:t>
      </w:r>
      <w:r>
        <w:rPr>
          <w:rFonts w:hint="eastAsia" w:ascii="宋体" w:hAnsi="宋体" w:cs="宋体"/>
          <w:b w:val="0"/>
          <w:bCs w:val="0"/>
          <w:sz w:val="36"/>
          <w:szCs w:val="15"/>
          <w:u w:val="none"/>
          <w:lang w:val="en-US" w:eastAsia="zh-CN"/>
        </w:rPr>
        <w:t>6</w:t>
      </w:r>
      <w:r>
        <w:rPr>
          <w:rFonts w:hint="eastAsia" w:ascii="宋体" w:hAnsi="宋体" w:eastAsia="宋体" w:cs="宋体"/>
          <w:b w:val="0"/>
          <w:bCs w:val="0"/>
          <w:sz w:val="36"/>
          <w:szCs w:val="15"/>
          <w:u w:val="none"/>
          <w:lang w:val="en-US" w:eastAsia="zh-CN"/>
        </w:rPr>
        <w:t>日</w:t>
      </w:r>
    </w:p>
    <w:p w14:paraId="45256D1A">
      <w:pPr>
        <w:rPr>
          <w:rFonts w:hint="eastAsia" w:ascii="黑体" w:hAnsi="黑体" w:eastAsia="黑体"/>
          <w:sz w:val="56"/>
          <w:szCs w:val="22"/>
          <w:lang w:val="en-US" w:eastAsia="zh-CN"/>
        </w:rPr>
      </w:pPr>
      <w:r>
        <w:rPr>
          <w:rFonts w:hint="eastAsia" w:ascii="黑体" w:hAnsi="黑体" w:eastAsia="黑体"/>
          <w:sz w:val="56"/>
          <w:szCs w:val="22"/>
          <w:lang w:val="en-US" w:eastAsia="zh-CN"/>
        </w:rPr>
        <w:br w:type="page"/>
      </w:r>
    </w:p>
    <w:p w14:paraId="02B1B55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default"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第一章  报价须知</w:t>
      </w:r>
    </w:p>
    <w:p w14:paraId="36A9FE8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i w:val="0"/>
          <w:iCs w:val="0"/>
          <w:caps w:val="0"/>
          <w:color w:val="333333"/>
          <w:spacing w:val="0"/>
          <w:sz w:val="21"/>
          <w:szCs w:val="21"/>
        </w:rPr>
      </w:pPr>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内容</w:t>
      </w:r>
      <w:bookmarkEnd w:id="0"/>
      <w:bookmarkEnd w:id="1"/>
      <w:bookmarkEnd w:id="2"/>
    </w:p>
    <w:p w14:paraId="0B6A9C7A">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项目名</w:t>
      </w:r>
      <w:r>
        <w:rPr>
          <w:rFonts w:hint="eastAsia" w:asciiTheme="minorEastAsia" w:hAnsiTheme="minorEastAsia" w:eastAsiaTheme="minorEastAsia" w:cstheme="minorEastAsia"/>
          <w:kern w:val="2"/>
          <w:sz w:val="28"/>
          <w:szCs w:val="28"/>
          <w:lang w:val="en-US" w:eastAsia="zh-CN" w:bidi="ar-SA"/>
        </w:rPr>
        <w:t>称</w:t>
      </w:r>
      <w:r>
        <w:rPr>
          <w:rFonts w:hint="eastAsia" w:asciiTheme="minorEastAsia" w:hAnsiTheme="minorEastAsia" w:eastAsiaTheme="minorEastAsia" w:cstheme="minorEastAsia"/>
          <w:sz w:val="28"/>
          <w:szCs w:val="28"/>
          <w:lang w:val="en-US" w:eastAsia="zh-CN"/>
        </w:rPr>
        <w:t>：2023年巴南区农村公路水毁整治项目（新增灾损点）</w:t>
      </w:r>
    </w:p>
    <w:p w14:paraId="4CE4AF24">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比选内容：碎石、片石、河砂采购。</w:t>
      </w:r>
    </w:p>
    <w:p w14:paraId="2200EE80">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采购规模：碎石</w:t>
      </w:r>
      <w:r>
        <w:rPr>
          <w:rFonts w:hint="eastAsia" w:asciiTheme="minorEastAsia" w:hAnsiTheme="minorEastAsia" w:eastAsiaTheme="minorEastAsia" w:cstheme="minorEastAsia"/>
          <w:color w:val="auto"/>
          <w:kern w:val="2"/>
          <w:sz w:val="28"/>
          <w:szCs w:val="28"/>
          <w:highlight w:val="none"/>
          <w:lang w:val="en-US" w:eastAsia="zh-CN" w:bidi="ar-SA"/>
        </w:rPr>
        <w:t>约2644.706t、片石约6325.02t、河砂约124.71t，实际采购数量以甲方通知为准</w:t>
      </w:r>
      <w:r>
        <w:rPr>
          <w:rFonts w:hint="eastAsia" w:asciiTheme="minorEastAsia" w:hAnsiTheme="minorEastAsia" w:eastAsiaTheme="minorEastAsia" w:cstheme="minorEastAsia"/>
          <w:kern w:val="2"/>
          <w:sz w:val="28"/>
          <w:szCs w:val="28"/>
          <w:lang w:val="en-US" w:eastAsia="zh-CN" w:bidi="ar-SA"/>
        </w:rPr>
        <w:t>。</w:t>
      </w:r>
    </w:p>
    <w:p w14:paraId="3AB62E2C">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交货期/施工期：具体日期以采购人通知为准。</w:t>
      </w:r>
    </w:p>
    <w:p w14:paraId="6048841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二、报价要求</w:t>
      </w:r>
    </w:p>
    <w:p w14:paraId="0AD4209F">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邀请报价说明：</w:t>
      </w:r>
      <w:r>
        <w:rPr>
          <w:rFonts w:hint="eastAsia" w:asciiTheme="minorEastAsia" w:hAnsiTheme="minorEastAsia" w:eastAsiaTheme="minorEastAsia" w:cstheme="minorEastAsia"/>
          <w:sz w:val="28"/>
          <w:szCs w:val="28"/>
          <w:highlight w:val="none"/>
          <w:lang w:val="en-US" w:eastAsia="zh-CN"/>
        </w:rPr>
        <w:t>各报价单位结合项目特点、市场因素进行合理报价，</w:t>
      </w:r>
      <w:r>
        <w:rPr>
          <w:rFonts w:hint="eastAsia" w:asciiTheme="minorEastAsia" w:hAnsiTheme="minorEastAsia" w:eastAsiaTheme="minorEastAsia" w:cstheme="minorEastAsia"/>
          <w:kern w:val="2"/>
          <w:sz w:val="28"/>
          <w:szCs w:val="28"/>
          <w:highlight w:val="none"/>
          <w:lang w:val="en-US" w:eastAsia="zh-CN" w:bidi="ar-SA"/>
        </w:rPr>
        <w:t>报价包含但不限于运输费、装卸费、税金等相关的所有费用</w:t>
      </w:r>
      <w:r>
        <w:rPr>
          <w:rFonts w:hint="eastAsia" w:asciiTheme="minorEastAsia" w:hAnsiTheme="minorEastAsia" w:eastAsiaTheme="minorEastAsia" w:cstheme="minorEastAsia"/>
          <w:kern w:val="2"/>
          <w:sz w:val="28"/>
          <w:szCs w:val="28"/>
          <w:lang w:val="en-US" w:eastAsia="zh-CN" w:bidi="ar-SA"/>
        </w:rPr>
        <w:t>。货到现场需同时提供送货单、合格证书等。</w:t>
      </w:r>
    </w:p>
    <w:p w14:paraId="4470D78E">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发票要求：本工程须开具1%增值税普通发票，</w:t>
      </w:r>
      <w:r>
        <w:rPr>
          <w:rFonts w:hint="eastAsia" w:asciiTheme="minorEastAsia" w:hAnsiTheme="minorEastAsia" w:eastAsiaTheme="minorEastAsia" w:cstheme="minorEastAsia"/>
          <w:color w:val="auto"/>
          <w:kern w:val="2"/>
          <w:sz w:val="28"/>
          <w:szCs w:val="28"/>
          <w:highlight w:val="none"/>
          <w:lang w:val="en-US" w:eastAsia="zh-CN" w:bidi="ar-SA"/>
        </w:rPr>
        <w:t>支付材料款时，乙方必须提供增值税发票。否则甲方有权拒绝付款，且不承担任何责任。</w:t>
      </w:r>
    </w:p>
    <w:p w14:paraId="231B3071">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最高限价：</w:t>
      </w:r>
      <w:r>
        <w:rPr>
          <w:rFonts w:hint="eastAsia" w:asciiTheme="minorEastAsia" w:hAnsiTheme="minorEastAsia" w:eastAsiaTheme="minorEastAsia" w:cstheme="minorEastAsia"/>
          <w:color w:val="auto"/>
          <w:kern w:val="2"/>
          <w:sz w:val="28"/>
          <w:szCs w:val="28"/>
          <w:lang w:val="en-US" w:eastAsia="zh-CN" w:bidi="ar-SA"/>
        </w:rPr>
        <w:t>单项限价详见附件1（限价清单）</w:t>
      </w:r>
      <w:r>
        <w:rPr>
          <w:rFonts w:hint="eastAsia" w:asciiTheme="minorEastAsia" w:hAnsiTheme="minorEastAsia" w:eastAsiaTheme="minorEastAsia" w:cstheme="minorEastAsia"/>
          <w:color w:val="auto"/>
          <w:kern w:val="2"/>
          <w:sz w:val="28"/>
          <w:szCs w:val="28"/>
          <w:vertAlign w:val="baseline"/>
          <w:lang w:val="en-US" w:eastAsia="zh-CN" w:bidi="ar-SA"/>
        </w:rPr>
        <w:t>，</w:t>
      </w:r>
      <w:r>
        <w:rPr>
          <w:rFonts w:hint="eastAsia" w:asciiTheme="minorEastAsia" w:hAnsiTheme="minorEastAsia" w:eastAsiaTheme="minorEastAsia" w:cstheme="minorEastAsia"/>
          <w:color w:val="auto"/>
          <w:kern w:val="2"/>
          <w:sz w:val="28"/>
          <w:szCs w:val="28"/>
          <w:highlight w:val="none"/>
          <w:lang w:val="en-US" w:eastAsia="zh-CN" w:bidi="ar-SA"/>
        </w:rPr>
        <w:t>报价单位的每项清单综合单价报价不得超过每项清单综合单价最高限价，否则由评标委员会作否决投标处理。</w:t>
      </w:r>
    </w:p>
    <w:p w14:paraId="5E7B4271">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报价文件要求：</w:t>
      </w:r>
    </w:p>
    <w:p w14:paraId="1E45AA2E">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4.1、按第二章中提供的报价文件格式制作，报价文件须用文件袋单独封装，并在封口处加盖投标单位公章，同时文件袋须写明单位名称、项目名称。文件袋未按要求密封的，采购人有权拒收。</w:t>
      </w:r>
    </w:p>
    <w:p w14:paraId="40FD5C93">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4.2、法定代表人参加报价活动并签署文件的不需要授权委托书，只需提供法定代表人身份证；非法定代表人参加报价活动及签署文件的须提供授权委托书、委托代理人身份证原件。</w:t>
      </w:r>
    </w:p>
    <w:p w14:paraId="50ACBEAB">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报价文件递交方式：现场递交，需同时提交授权委托书原件1份。</w:t>
      </w:r>
    </w:p>
    <w:p w14:paraId="78DE4313">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报价文件递交截止时间：2025年1月10日10:00（含 10:00 ）。</w:t>
      </w:r>
      <w:bookmarkStart w:id="15" w:name="_GoBack"/>
      <w:bookmarkEnd w:id="15"/>
    </w:p>
    <w:p w14:paraId="22D412C9">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报价文件递交地址：重庆市巴南区南彭公路物流基地环道东路6号（巴建公司）。</w:t>
      </w:r>
    </w:p>
    <w:p w14:paraId="5EA51442">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评审办法：最低含税总价。</w:t>
      </w:r>
    </w:p>
    <w:p w14:paraId="32281BCA">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最终结算金额=实际供货量×中标含税综合单价</w:t>
      </w:r>
      <w:r>
        <w:rPr>
          <w:rFonts w:hint="eastAsia" w:asciiTheme="minorEastAsia" w:hAnsiTheme="minorEastAsia" w:eastAsiaTheme="minorEastAsia" w:cstheme="minorEastAsia"/>
          <w:sz w:val="28"/>
          <w:szCs w:val="28"/>
          <w:lang w:eastAsia="zh-CN"/>
        </w:rPr>
        <w:t>。</w:t>
      </w:r>
    </w:p>
    <w:p w14:paraId="37AC5F99">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bidi="ar-SA"/>
        </w:rPr>
        <w:t>材料款支付：</w:t>
      </w:r>
      <w:r>
        <w:rPr>
          <w:rFonts w:hint="eastAsia" w:asciiTheme="minorEastAsia" w:hAnsiTheme="minorEastAsia" w:eastAsiaTheme="minorEastAsia" w:cstheme="minorEastAsia"/>
          <w:sz w:val="28"/>
          <w:szCs w:val="28"/>
          <w:highlight w:val="none"/>
          <w:lang w:val="en-US" w:eastAsia="zh-CN"/>
        </w:rPr>
        <w:t>建设单位向甲方支付工程款后，甲方按合同约定向乙方支付材料款，付款金额以乙方当期已供货物占建设单位支付的当期工程款对应工程量的比例乘以建设单位支付的当期工程款为限（如乙方当期所供货物占建设单位当期付款100万对应工程量的3%，则当期支付乙方款项不得超过3万）。</w:t>
      </w:r>
    </w:p>
    <w:p w14:paraId="3BD5B997">
      <w:pPr>
        <w:rPr>
          <w:rFonts w:hint="eastAsia" w:asciiTheme="minorEastAsia" w:hAnsiTheme="minorEastAsia" w:eastAsiaTheme="minorEastAsia" w:cstheme="minorEastAsia"/>
          <w:sz w:val="28"/>
          <w:szCs w:val="28"/>
          <w:highlight w:val="none"/>
          <w:lang w:val="en-US" w:eastAsia="zh-CN"/>
        </w:rPr>
      </w:pPr>
    </w:p>
    <w:p w14:paraId="79C462DD">
      <w:pPr>
        <w:rPr>
          <w:rFonts w:hint="eastAsia" w:asciiTheme="minorEastAsia" w:hAnsiTheme="minorEastAsia" w:eastAsiaTheme="minorEastAsia" w:cstheme="minorEastAsia"/>
          <w:sz w:val="28"/>
          <w:szCs w:val="28"/>
          <w:highlight w:val="none"/>
          <w:lang w:val="en-US" w:eastAsia="zh-CN"/>
        </w:rPr>
      </w:pPr>
    </w:p>
    <w:p w14:paraId="22A255DA">
      <w:pPr>
        <w:rPr>
          <w:rFonts w:hint="eastAsia" w:asciiTheme="minorEastAsia" w:hAnsiTheme="minorEastAsia" w:eastAsiaTheme="minorEastAsia" w:cstheme="minorEastAsia"/>
          <w:sz w:val="28"/>
          <w:szCs w:val="28"/>
          <w:highlight w:val="none"/>
          <w:lang w:val="en-US" w:eastAsia="zh-CN"/>
        </w:rPr>
      </w:pPr>
    </w:p>
    <w:p w14:paraId="04CB578B">
      <w:pPr>
        <w:rPr>
          <w:rFonts w:hint="eastAsia" w:asciiTheme="minorEastAsia" w:hAnsiTheme="minorEastAsia" w:eastAsiaTheme="minorEastAsia" w:cstheme="minorEastAsia"/>
          <w:sz w:val="28"/>
          <w:szCs w:val="28"/>
          <w:highlight w:val="none"/>
          <w:lang w:val="en-US" w:eastAsia="zh-CN"/>
        </w:rPr>
      </w:pPr>
    </w:p>
    <w:p w14:paraId="427F8AFC">
      <w:pPr>
        <w:rPr>
          <w:rFonts w:hint="eastAsia" w:asciiTheme="minorEastAsia" w:hAnsiTheme="minorEastAsia" w:eastAsiaTheme="minorEastAsia" w:cstheme="minorEastAsia"/>
          <w:sz w:val="28"/>
          <w:szCs w:val="28"/>
          <w:highlight w:val="none"/>
          <w:lang w:val="en-US" w:eastAsia="zh-CN"/>
        </w:rPr>
      </w:pPr>
    </w:p>
    <w:p w14:paraId="5782B83C">
      <w:pPr>
        <w:rPr>
          <w:rFonts w:hint="eastAsia" w:asciiTheme="minorEastAsia" w:hAnsiTheme="minorEastAsia" w:eastAsiaTheme="minorEastAsia" w:cstheme="minorEastAsia"/>
          <w:sz w:val="28"/>
          <w:szCs w:val="28"/>
          <w:highlight w:val="none"/>
          <w:lang w:val="en-US" w:eastAsia="zh-CN"/>
        </w:rPr>
      </w:pPr>
    </w:p>
    <w:p w14:paraId="6CFAD24E">
      <w:pPr>
        <w:rPr>
          <w:rFonts w:hint="eastAsia" w:asciiTheme="minorEastAsia" w:hAnsiTheme="minorEastAsia" w:eastAsiaTheme="minorEastAsia" w:cstheme="minorEastAsia"/>
          <w:sz w:val="28"/>
          <w:szCs w:val="28"/>
          <w:highlight w:val="none"/>
          <w:lang w:val="en-US" w:eastAsia="zh-CN"/>
        </w:rPr>
      </w:pPr>
    </w:p>
    <w:p w14:paraId="00DE1CBC">
      <w:pPr>
        <w:rPr>
          <w:rFonts w:hint="eastAsia" w:asciiTheme="minorEastAsia" w:hAnsiTheme="minorEastAsia" w:eastAsiaTheme="minorEastAsia" w:cstheme="minorEastAsia"/>
          <w:sz w:val="28"/>
          <w:szCs w:val="28"/>
          <w:highlight w:val="none"/>
          <w:lang w:val="en-US" w:eastAsia="zh-CN"/>
        </w:rPr>
      </w:pPr>
    </w:p>
    <w:p w14:paraId="057CBE09">
      <w:pPr>
        <w:rPr>
          <w:rFonts w:hint="eastAsia" w:asciiTheme="minorEastAsia" w:hAnsiTheme="minorEastAsia" w:eastAsiaTheme="minorEastAsia" w:cstheme="minorEastAsia"/>
          <w:sz w:val="28"/>
          <w:szCs w:val="28"/>
          <w:highlight w:val="none"/>
          <w:lang w:val="en-US" w:eastAsia="zh-CN"/>
        </w:rPr>
        <w:sectPr>
          <w:pgSz w:w="11906" w:h="16838"/>
          <w:pgMar w:top="1440" w:right="1800" w:bottom="1440" w:left="1800" w:header="851" w:footer="992" w:gutter="0"/>
          <w:cols w:space="425" w:num="1"/>
          <w:docGrid w:type="lines" w:linePitch="312" w:charSpace="0"/>
        </w:sectPr>
      </w:pPr>
    </w:p>
    <w:p w14:paraId="3B57053A">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附件：限价清单</w:t>
      </w:r>
    </w:p>
    <w:tbl>
      <w:tblPr>
        <w:tblStyle w:val="12"/>
        <w:tblpPr w:leftFromText="180" w:rightFromText="180" w:vertAnchor="text" w:horzAnchor="page" w:tblpX="1525" w:tblpY="602"/>
        <w:tblOverlap w:val="never"/>
        <w:tblW w:w="139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9"/>
        <w:gridCol w:w="1093"/>
        <w:gridCol w:w="1988"/>
        <w:gridCol w:w="1069"/>
        <w:gridCol w:w="1350"/>
        <w:gridCol w:w="1950"/>
        <w:gridCol w:w="1631"/>
        <w:gridCol w:w="1359"/>
        <w:gridCol w:w="2642"/>
      </w:tblGrid>
      <w:tr w14:paraId="4FA8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13911" w:type="dxa"/>
            <w:gridSpan w:val="9"/>
            <w:tcBorders>
              <w:top w:val="nil"/>
              <w:left w:val="nil"/>
              <w:bottom w:val="single" w:color="auto" w:sz="4" w:space="0"/>
              <w:right w:val="nil"/>
            </w:tcBorders>
            <w:shd w:val="clear" w:color="auto" w:fill="auto"/>
            <w:noWrap/>
            <w:vAlign w:val="center"/>
          </w:tcPr>
          <w:p w14:paraId="33C24BB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2023年巴南区农村公路水毁整治项目（新增灾损点）</w:t>
            </w:r>
          </w:p>
        </w:tc>
      </w:tr>
      <w:tr w14:paraId="467E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65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5B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D3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A1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FE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63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限价（含税综合单价）（元）</w:t>
            </w:r>
          </w:p>
        </w:tc>
        <w:tc>
          <w:tcPr>
            <w:tcW w:w="1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A7F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限价合价（元）</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C8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质量标准</w:t>
            </w:r>
          </w:p>
        </w:tc>
        <w:tc>
          <w:tcPr>
            <w:tcW w:w="2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82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F06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78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B252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河砂</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EAF4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天然砂</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A0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5F90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124.71</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A22D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173.04</w:t>
            </w:r>
          </w:p>
        </w:tc>
        <w:tc>
          <w:tcPr>
            <w:tcW w:w="1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C5EA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21579.82 </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BF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2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B1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r>
              <w:rPr>
                <w:rFonts w:hint="eastAsia" w:ascii="宋体" w:hAnsi="宋体" w:eastAsia="宋体" w:cs="宋体"/>
                <w:i w:val="0"/>
                <w:iCs w:val="0"/>
                <w:color w:val="auto"/>
                <w:sz w:val="22"/>
                <w:szCs w:val="22"/>
                <w:highlight w:val="none"/>
                <w:u w:val="none"/>
                <w:lang w:val="en-US" w:eastAsia="zh-CN"/>
              </w:rPr>
              <w:t>提供合格证及送货单、开具1%普通发票</w:t>
            </w:r>
          </w:p>
        </w:tc>
      </w:tr>
      <w:tr w14:paraId="6C5D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9D73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B35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碎石</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72E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71D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吨</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AE41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2644.706</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C790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78.28</w:t>
            </w:r>
          </w:p>
        </w:tc>
        <w:tc>
          <w:tcPr>
            <w:tcW w:w="1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1704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207027.59 </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99742">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合格</w:t>
            </w:r>
          </w:p>
        </w:tc>
        <w:tc>
          <w:tcPr>
            <w:tcW w:w="2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CC7F6">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提供合格证及送货单、开具1%普通发票</w:t>
            </w:r>
          </w:p>
        </w:tc>
      </w:tr>
      <w:tr w14:paraId="307D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B94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156A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片石</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09D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10-30cm</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6A6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吨</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5350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6325.02</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1E3E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86.52</w:t>
            </w:r>
          </w:p>
        </w:tc>
        <w:tc>
          <w:tcPr>
            <w:tcW w:w="1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E68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547240.73 </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23D88">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合格</w:t>
            </w:r>
          </w:p>
        </w:tc>
        <w:tc>
          <w:tcPr>
            <w:tcW w:w="2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EBACF">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提供合格证及送货单、开具1%普通发票</w:t>
            </w:r>
          </w:p>
        </w:tc>
      </w:tr>
      <w:tr w14:paraId="5BEB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39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C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1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A81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9980">
            <w:pPr>
              <w:jc w:val="cente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D3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775848.13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4CB9">
            <w:pPr>
              <w:jc w:val="center"/>
              <w:rPr>
                <w:rFonts w:hint="eastAsia" w:ascii="宋体" w:hAnsi="宋体" w:eastAsia="宋体" w:cs="宋体"/>
                <w:i w:val="0"/>
                <w:iCs w:val="0"/>
                <w:color w:val="000000"/>
                <w:sz w:val="22"/>
                <w:szCs w:val="22"/>
                <w:u w:val="none"/>
              </w:rPr>
            </w:pP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6DCC">
            <w:pPr>
              <w:jc w:val="center"/>
              <w:rPr>
                <w:rFonts w:hint="eastAsia" w:ascii="宋体" w:hAnsi="宋体" w:eastAsia="宋体" w:cs="宋体"/>
                <w:i w:val="0"/>
                <w:iCs w:val="0"/>
                <w:color w:val="000000"/>
                <w:sz w:val="22"/>
                <w:szCs w:val="22"/>
                <w:u w:val="none"/>
              </w:rPr>
            </w:pPr>
          </w:p>
        </w:tc>
      </w:tr>
    </w:tbl>
    <w:p w14:paraId="2D0DA33A">
      <w:pPr>
        <w:rPr>
          <w:rFonts w:hint="default" w:asciiTheme="minorEastAsia" w:hAnsiTheme="minorEastAsia" w:eastAsiaTheme="minorEastAsia" w:cstheme="minorEastAsia"/>
          <w:sz w:val="28"/>
          <w:szCs w:val="28"/>
          <w:highlight w:val="none"/>
          <w:lang w:val="en-US" w:eastAsia="zh-CN"/>
        </w:rPr>
      </w:pPr>
    </w:p>
    <w:p w14:paraId="36608A2A">
      <w:pPr>
        <w:pStyle w:val="2"/>
        <w:rPr>
          <w:rFonts w:hint="default"/>
          <w:lang w:val="en-US" w:eastAsia="zh-CN"/>
        </w:rPr>
        <w:sectPr>
          <w:pgSz w:w="16838" w:h="11906" w:orient="landscape"/>
          <w:pgMar w:top="1800" w:right="1440" w:bottom="1800" w:left="1440" w:header="851" w:footer="992" w:gutter="0"/>
          <w:cols w:space="425" w:num="1"/>
          <w:docGrid w:type="lines" w:linePitch="312" w:charSpace="0"/>
        </w:sectPr>
      </w:pPr>
    </w:p>
    <w:p w14:paraId="1A8AB410">
      <w:pPr>
        <w:rPr>
          <w:rFonts w:hint="eastAsia" w:asciiTheme="minorEastAsia" w:hAnsiTheme="minorEastAsia" w:eastAsiaTheme="minorEastAsia" w:cstheme="minorEastAsia"/>
          <w:sz w:val="28"/>
          <w:szCs w:val="28"/>
          <w:highlight w:val="none"/>
          <w:lang w:val="en-US" w:eastAsia="zh-CN"/>
        </w:rPr>
      </w:pPr>
    </w:p>
    <w:p w14:paraId="20DFDFAC">
      <w:pPr>
        <w:rPr>
          <w:rFonts w:hint="eastAsia" w:asciiTheme="minorEastAsia" w:hAnsiTheme="minorEastAsia" w:eastAsiaTheme="minorEastAsia" w:cstheme="minorEastAsia"/>
          <w:sz w:val="28"/>
          <w:szCs w:val="28"/>
          <w:highlight w:val="none"/>
          <w:lang w:val="en-US" w:eastAsia="zh-CN"/>
        </w:rPr>
      </w:pPr>
    </w:p>
    <w:p w14:paraId="002DAA63">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7F28DCC7">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4F187629">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9F42DA5">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792BDED0">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F9AA870">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A828CD1">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default"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第二章  报价文件格式</w:t>
      </w:r>
    </w:p>
    <w:p w14:paraId="79EFE9BF">
      <w:pPr>
        <w:pStyle w:val="5"/>
        <w:widowControl w:val="0"/>
        <w:numPr>
          <w:ilvl w:val="0"/>
          <w:numId w:val="0"/>
        </w:numPr>
        <w:jc w:val="center"/>
        <w:rPr>
          <w:rFonts w:hint="eastAsia"/>
          <w:b/>
          <w:bCs/>
          <w:color w:val="auto"/>
          <w:sz w:val="40"/>
          <w:szCs w:val="32"/>
          <w:lang w:val="en-US" w:eastAsia="zh-CN"/>
        </w:rPr>
      </w:pPr>
    </w:p>
    <w:p w14:paraId="3D5530EF">
      <w:pPr>
        <w:pStyle w:val="5"/>
        <w:widowControl w:val="0"/>
        <w:numPr>
          <w:ilvl w:val="0"/>
          <w:numId w:val="0"/>
        </w:numPr>
        <w:jc w:val="center"/>
        <w:rPr>
          <w:rFonts w:hint="eastAsia"/>
          <w:b/>
          <w:bCs/>
          <w:color w:val="auto"/>
          <w:sz w:val="40"/>
          <w:szCs w:val="32"/>
          <w:lang w:val="en-US" w:eastAsia="zh-CN"/>
        </w:rPr>
      </w:pPr>
    </w:p>
    <w:p w14:paraId="29A3DFA1">
      <w:pPr>
        <w:pStyle w:val="5"/>
        <w:widowControl w:val="0"/>
        <w:numPr>
          <w:ilvl w:val="0"/>
          <w:numId w:val="0"/>
        </w:numPr>
        <w:jc w:val="center"/>
        <w:rPr>
          <w:rFonts w:hint="eastAsia"/>
          <w:b/>
          <w:bCs/>
          <w:color w:val="auto"/>
          <w:sz w:val="40"/>
          <w:szCs w:val="32"/>
          <w:lang w:val="en-US" w:eastAsia="zh-CN"/>
        </w:rPr>
      </w:pPr>
    </w:p>
    <w:p w14:paraId="22753AA7">
      <w:pPr>
        <w:pStyle w:val="5"/>
        <w:widowControl w:val="0"/>
        <w:numPr>
          <w:ilvl w:val="0"/>
          <w:numId w:val="0"/>
        </w:numPr>
        <w:jc w:val="center"/>
        <w:rPr>
          <w:rFonts w:hint="eastAsia"/>
          <w:b/>
          <w:bCs/>
          <w:color w:val="auto"/>
          <w:sz w:val="40"/>
          <w:szCs w:val="32"/>
          <w:lang w:val="en-US" w:eastAsia="zh-CN"/>
        </w:rPr>
      </w:pPr>
    </w:p>
    <w:p w14:paraId="0656CEAE">
      <w:pPr>
        <w:pStyle w:val="5"/>
        <w:widowControl w:val="0"/>
        <w:numPr>
          <w:ilvl w:val="0"/>
          <w:numId w:val="0"/>
        </w:numPr>
        <w:jc w:val="center"/>
        <w:rPr>
          <w:rFonts w:hint="eastAsia"/>
          <w:b/>
          <w:bCs/>
          <w:color w:val="auto"/>
          <w:sz w:val="40"/>
          <w:szCs w:val="32"/>
          <w:lang w:val="en-US" w:eastAsia="zh-CN"/>
        </w:rPr>
      </w:pPr>
    </w:p>
    <w:p w14:paraId="2FF185EF">
      <w:pPr>
        <w:pStyle w:val="5"/>
        <w:widowControl w:val="0"/>
        <w:numPr>
          <w:ilvl w:val="0"/>
          <w:numId w:val="0"/>
        </w:numPr>
        <w:jc w:val="center"/>
        <w:rPr>
          <w:rFonts w:hint="eastAsia"/>
          <w:b/>
          <w:bCs/>
          <w:color w:val="auto"/>
          <w:sz w:val="40"/>
          <w:szCs w:val="32"/>
          <w:lang w:val="en-US" w:eastAsia="zh-CN"/>
        </w:rPr>
      </w:pPr>
    </w:p>
    <w:p w14:paraId="78CDE965">
      <w:pPr>
        <w:pStyle w:val="5"/>
        <w:widowControl w:val="0"/>
        <w:numPr>
          <w:ilvl w:val="0"/>
          <w:numId w:val="0"/>
        </w:numPr>
        <w:jc w:val="center"/>
        <w:rPr>
          <w:rFonts w:hint="eastAsia"/>
          <w:b/>
          <w:bCs/>
          <w:color w:val="auto"/>
          <w:sz w:val="40"/>
          <w:szCs w:val="32"/>
          <w:lang w:val="en-US" w:eastAsia="zh-CN"/>
        </w:rPr>
      </w:pPr>
    </w:p>
    <w:p w14:paraId="58F6DDA3">
      <w:pPr>
        <w:pStyle w:val="5"/>
        <w:widowControl w:val="0"/>
        <w:numPr>
          <w:ilvl w:val="0"/>
          <w:numId w:val="0"/>
        </w:numPr>
        <w:jc w:val="center"/>
        <w:rPr>
          <w:rFonts w:hint="eastAsia"/>
          <w:b/>
          <w:bCs/>
          <w:color w:val="auto"/>
          <w:sz w:val="40"/>
          <w:szCs w:val="32"/>
          <w:lang w:val="en-US" w:eastAsia="zh-CN"/>
        </w:rPr>
      </w:pPr>
    </w:p>
    <w:p w14:paraId="3EE58180">
      <w:pPr>
        <w:pStyle w:val="5"/>
        <w:widowControl w:val="0"/>
        <w:numPr>
          <w:ilvl w:val="0"/>
          <w:numId w:val="0"/>
        </w:numPr>
        <w:jc w:val="center"/>
        <w:rPr>
          <w:rFonts w:hint="eastAsia"/>
          <w:b/>
          <w:bCs/>
          <w:color w:val="auto"/>
          <w:sz w:val="40"/>
          <w:szCs w:val="32"/>
          <w:lang w:val="en-US" w:eastAsia="zh-CN"/>
        </w:rPr>
      </w:pPr>
    </w:p>
    <w:p w14:paraId="63FE7BED">
      <w:pPr>
        <w:pStyle w:val="5"/>
        <w:widowControl w:val="0"/>
        <w:numPr>
          <w:ilvl w:val="0"/>
          <w:numId w:val="0"/>
        </w:numPr>
        <w:jc w:val="center"/>
        <w:rPr>
          <w:rFonts w:hint="eastAsia"/>
          <w:b/>
          <w:bCs/>
          <w:color w:val="auto"/>
          <w:sz w:val="40"/>
          <w:szCs w:val="32"/>
          <w:lang w:val="en-US" w:eastAsia="zh-CN"/>
        </w:rPr>
      </w:pPr>
    </w:p>
    <w:p w14:paraId="39F6477D">
      <w:pPr>
        <w:pStyle w:val="5"/>
        <w:widowControl w:val="0"/>
        <w:numPr>
          <w:ilvl w:val="0"/>
          <w:numId w:val="0"/>
        </w:numPr>
        <w:jc w:val="center"/>
        <w:rPr>
          <w:rFonts w:hint="eastAsia"/>
          <w:b/>
          <w:bCs/>
          <w:color w:val="auto"/>
          <w:sz w:val="40"/>
          <w:szCs w:val="32"/>
          <w:lang w:val="en-US" w:eastAsia="zh-CN"/>
        </w:rPr>
      </w:pPr>
    </w:p>
    <w:p w14:paraId="072D6F2D">
      <w:pPr>
        <w:pStyle w:val="5"/>
        <w:widowControl w:val="0"/>
        <w:numPr>
          <w:ilvl w:val="0"/>
          <w:numId w:val="0"/>
        </w:numPr>
        <w:jc w:val="center"/>
        <w:rPr>
          <w:rFonts w:hint="eastAsia"/>
          <w:b/>
          <w:bCs/>
          <w:color w:val="auto"/>
          <w:sz w:val="40"/>
          <w:szCs w:val="32"/>
          <w:lang w:val="en-US" w:eastAsia="zh-CN"/>
        </w:rPr>
      </w:pPr>
    </w:p>
    <w:p w14:paraId="0D3E2719">
      <w:pPr>
        <w:pStyle w:val="5"/>
        <w:widowControl w:val="0"/>
        <w:numPr>
          <w:ilvl w:val="0"/>
          <w:numId w:val="0"/>
        </w:numPr>
        <w:jc w:val="center"/>
        <w:rPr>
          <w:rFonts w:hint="eastAsia"/>
          <w:b/>
          <w:bCs/>
          <w:color w:val="auto"/>
          <w:sz w:val="40"/>
          <w:szCs w:val="32"/>
          <w:lang w:val="en-US" w:eastAsia="zh-CN"/>
        </w:rPr>
      </w:pPr>
    </w:p>
    <w:p w14:paraId="3C024F9E">
      <w:pPr>
        <w:pStyle w:val="5"/>
        <w:widowControl w:val="0"/>
        <w:numPr>
          <w:ilvl w:val="0"/>
          <w:numId w:val="0"/>
        </w:numPr>
        <w:jc w:val="both"/>
        <w:rPr>
          <w:rFonts w:hint="eastAsia"/>
          <w:b/>
          <w:bCs/>
          <w:color w:val="auto"/>
          <w:sz w:val="40"/>
          <w:szCs w:val="32"/>
          <w:lang w:val="en-US" w:eastAsia="zh-CN"/>
        </w:rPr>
      </w:pPr>
    </w:p>
    <w:p w14:paraId="32CCEF1A">
      <w:pPr>
        <w:pStyle w:val="5"/>
        <w:widowControl w:val="0"/>
        <w:numPr>
          <w:ilvl w:val="0"/>
          <w:numId w:val="0"/>
        </w:numPr>
        <w:jc w:val="center"/>
        <w:rPr>
          <w:rFonts w:hint="eastAsia"/>
          <w:b/>
          <w:bCs/>
          <w:color w:val="auto"/>
          <w:sz w:val="40"/>
          <w:szCs w:val="32"/>
          <w:lang w:val="en-US" w:eastAsia="zh-CN"/>
        </w:rPr>
      </w:pPr>
    </w:p>
    <w:p w14:paraId="1BD41426">
      <w:pPr>
        <w:pStyle w:val="5"/>
        <w:widowControl w:val="0"/>
        <w:numPr>
          <w:ilvl w:val="0"/>
          <w:numId w:val="0"/>
        </w:numPr>
        <w:jc w:val="center"/>
        <w:rPr>
          <w:rFonts w:hint="eastAsia"/>
          <w:b/>
          <w:bCs/>
          <w:color w:val="auto"/>
          <w:sz w:val="40"/>
          <w:szCs w:val="32"/>
          <w:lang w:val="en-US" w:eastAsia="zh-CN"/>
        </w:rPr>
      </w:pPr>
    </w:p>
    <w:p w14:paraId="7A7DC53C">
      <w:pPr>
        <w:pStyle w:val="5"/>
        <w:widowControl w:val="0"/>
        <w:numPr>
          <w:ilvl w:val="0"/>
          <w:numId w:val="0"/>
        </w:numPr>
        <w:jc w:val="center"/>
        <w:rPr>
          <w:rFonts w:hint="eastAsia"/>
          <w:b/>
          <w:bCs/>
          <w:color w:val="auto"/>
          <w:sz w:val="40"/>
          <w:szCs w:val="32"/>
          <w:lang w:val="en-US" w:eastAsia="zh-CN"/>
        </w:rPr>
      </w:pPr>
    </w:p>
    <w:p w14:paraId="43CEB678">
      <w:pPr>
        <w:pStyle w:val="5"/>
        <w:widowControl w:val="0"/>
        <w:numPr>
          <w:ilvl w:val="0"/>
          <w:numId w:val="0"/>
        </w:numPr>
        <w:jc w:val="center"/>
        <w:rPr>
          <w:rFonts w:hint="eastAsia"/>
          <w:b/>
          <w:bCs/>
          <w:color w:val="auto"/>
          <w:sz w:val="40"/>
          <w:szCs w:val="32"/>
          <w:lang w:val="en-US" w:eastAsia="zh-CN"/>
        </w:rPr>
      </w:pPr>
    </w:p>
    <w:p w14:paraId="46102136">
      <w:pPr>
        <w:pStyle w:val="5"/>
        <w:spacing w:before="120" w:beforeLines="50"/>
        <w:ind w:firstLine="964"/>
        <w:jc w:val="center"/>
        <w:rPr>
          <w:rFonts w:hint="eastAsia" w:ascii="宋体" w:hAnsi="宋体" w:cs="Arial"/>
          <w:b/>
          <w:sz w:val="48"/>
        </w:rPr>
      </w:pPr>
      <w:bookmarkStart w:id="3" w:name="_Toc453079648"/>
      <w:bookmarkStart w:id="4" w:name="_Toc453162709"/>
      <w:bookmarkStart w:id="5" w:name="_Toc453162622"/>
      <w:r>
        <w:rPr>
          <w:rFonts w:hint="eastAsia" w:ascii="宋体" w:hAnsi="宋体" w:cs="Arial"/>
          <w:b/>
          <w:sz w:val="48"/>
          <w:u w:val="single"/>
        </w:rPr>
        <w:t xml:space="preserve"> </w:t>
      </w:r>
      <w:r>
        <w:rPr>
          <w:rFonts w:ascii="宋体" w:hAnsi="宋体" w:cs="Arial"/>
          <w:b/>
          <w:sz w:val="48"/>
          <w:u w:val="single"/>
        </w:rPr>
        <w:t xml:space="preserve">  </w:t>
      </w:r>
      <w:r>
        <w:rPr>
          <w:rFonts w:hint="eastAsia" w:ascii="宋体" w:hAnsi="宋体" w:cs="Arial"/>
          <w:b/>
          <w:sz w:val="48"/>
          <w:u w:val="single"/>
          <w:lang w:val="en-US" w:eastAsia="zh-CN"/>
        </w:rPr>
        <w:t xml:space="preserve">         </w:t>
      </w:r>
      <w:r>
        <w:rPr>
          <w:rFonts w:ascii="宋体" w:hAnsi="宋体" w:cs="Arial"/>
          <w:b/>
          <w:sz w:val="48"/>
          <w:u w:val="single"/>
        </w:rPr>
        <w:t xml:space="preserve">      </w:t>
      </w:r>
      <w:r>
        <w:rPr>
          <w:rFonts w:hint="eastAsia" w:ascii="宋体" w:hAnsi="宋体" w:cs="Arial"/>
          <w:b/>
          <w:sz w:val="48"/>
        </w:rPr>
        <w:t>项目</w:t>
      </w:r>
    </w:p>
    <w:p w14:paraId="4A44888B">
      <w:pPr>
        <w:pStyle w:val="5"/>
        <w:spacing w:before="120" w:beforeLines="50"/>
        <w:ind w:firstLine="964"/>
        <w:jc w:val="center"/>
        <w:rPr>
          <w:rFonts w:ascii="宋体" w:hAnsi="宋体" w:cs="Arial"/>
          <w:b/>
          <w:sz w:val="48"/>
          <w:u w:val="single"/>
        </w:rPr>
      </w:pPr>
      <w:r>
        <w:rPr>
          <w:rFonts w:hint="eastAsia" w:ascii="宋体" w:hAnsi="宋体" w:cs="Arial"/>
          <w:b/>
          <w:sz w:val="48"/>
          <w:u w:val="single"/>
          <w:lang w:val="en-US" w:eastAsia="zh-CN"/>
        </w:rPr>
        <w:t xml:space="preserve">              </w:t>
      </w:r>
      <w:r>
        <w:rPr>
          <w:rFonts w:hint="eastAsia" w:ascii="宋体" w:hAnsi="宋体" w:cs="Arial"/>
          <w:b/>
          <w:sz w:val="48"/>
          <w:lang w:val="en-US" w:eastAsia="zh-CN"/>
        </w:rPr>
        <w:t>物资</w:t>
      </w:r>
      <w:r>
        <w:rPr>
          <w:rFonts w:hint="eastAsia" w:ascii="宋体" w:hAnsi="宋体" w:cs="Arial"/>
          <w:b/>
          <w:sz w:val="48"/>
        </w:rPr>
        <w:t>采购</w:t>
      </w:r>
    </w:p>
    <w:p w14:paraId="148A42C3">
      <w:pPr>
        <w:pStyle w:val="5"/>
        <w:ind w:left="119" w:firstLine="0" w:firstLineChars="0"/>
        <w:jc w:val="center"/>
        <w:rPr>
          <w:rFonts w:ascii="宋体" w:hAnsi="宋体" w:cs="Arial"/>
          <w:sz w:val="72"/>
        </w:rPr>
      </w:pPr>
    </w:p>
    <w:p w14:paraId="47529F52">
      <w:pPr>
        <w:pStyle w:val="5"/>
        <w:ind w:firstLine="0" w:firstLineChars="0"/>
        <w:jc w:val="center"/>
        <w:rPr>
          <w:rFonts w:ascii="黑体" w:hAnsi="黑体" w:eastAsia="黑体" w:cs="Arial"/>
          <w:sz w:val="84"/>
          <w:szCs w:val="84"/>
        </w:rPr>
      </w:pPr>
      <w:r>
        <w:rPr>
          <w:rFonts w:hint="eastAsia" w:ascii="黑体" w:hAnsi="黑体" w:eastAsia="黑体" w:cs="Arial"/>
          <w:sz w:val="84"/>
          <w:szCs w:val="84"/>
          <w:lang w:val="en-US" w:eastAsia="zh-CN"/>
        </w:rPr>
        <w:t>报</w:t>
      </w:r>
      <w:r>
        <w:rPr>
          <w:rFonts w:hint="eastAsia" w:ascii="黑体" w:hAnsi="黑体" w:eastAsia="黑体" w:cs="Arial"/>
          <w:sz w:val="84"/>
          <w:szCs w:val="84"/>
        </w:rPr>
        <w:t xml:space="preserve"> </w:t>
      </w:r>
      <w:r>
        <w:rPr>
          <w:rFonts w:hint="eastAsia" w:ascii="黑体" w:hAnsi="黑体" w:eastAsia="黑体" w:cs="Arial"/>
          <w:sz w:val="84"/>
          <w:szCs w:val="84"/>
          <w:lang w:val="en-US" w:eastAsia="zh-CN"/>
        </w:rPr>
        <w:t>价</w:t>
      </w:r>
      <w:r>
        <w:rPr>
          <w:rFonts w:hint="eastAsia" w:ascii="黑体" w:hAnsi="黑体" w:eastAsia="黑体" w:cs="Arial"/>
          <w:sz w:val="84"/>
          <w:szCs w:val="84"/>
        </w:rPr>
        <w:t xml:space="preserve"> </w:t>
      </w:r>
      <w:r>
        <w:rPr>
          <w:rFonts w:ascii="黑体" w:hAnsi="黑体" w:eastAsia="黑体" w:cs="Arial"/>
          <w:sz w:val="84"/>
          <w:szCs w:val="84"/>
        </w:rPr>
        <w:t>文</w:t>
      </w:r>
      <w:r>
        <w:rPr>
          <w:rFonts w:hint="eastAsia" w:ascii="黑体" w:hAnsi="黑体" w:eastAsia="黑体" w:cs="Arial"/>
          <w:sz w:val="84"/>
          <w:szCs w:val="84"/>
        </w:rPr>
        <w:t xml:space="preserve"> </w:t>
      </w:r>
      <w:r>
        <w:rPr>
          <w:rFonts w:ascii="黑体" w:hAnsi="黑体" w:eastAsia="黑体" w:cs="Arial"/>
          <w:sz w:val="84"/>
          <w:szCs w:val="84"/>
        </w:rPr>
        <w:t>件</w:t>
      </w:r>
    </w:p>
    <w:p w14:paraId="06826112">
      <w:pPr>
        <w:pStyle w:val="5"/>
        <w:ind w:left="119" w:firstLine="0" w:firstLineChars="0"/>
        <w:jc w:val="center"/>
        <w:rPr>
          <w:rFonts w:ascii="宋体" w:hAnsi="宋体" w:cs="Arial"/>
        </w:rPr>
      </w:pPr>
    </w:p>
    <w:p w14:paraId="73EBEA87">
      <w:pPr>
        <w:pStyle w:val="5"/>
        <w:ind w:left="119" w:firstLine="0" w:firstLineChars="0"/>
        <w:jc w:val="center"/>
        <w:rPr>
          <w:rFonts w:ascii="宋体" w:hAnsi="宋体" w:cs="Arial"/>
        </w:rPr>
      </w:pPr>
    </w:p>
    <w:p w14:paraId="572E4EAC">
      <w:pPr>
        <w:pStyle w:val="5"/>
        <w:ind w:left="119" w:firstLine="0" w:firstLineChars="0"/>
        <w:jc w:val="center"/>
        <w:rPr>
          <w:rFonts w:ascii="宋体" w:hAnsi="宋体" w:cs="Arial"/>
        </w:rPr>
      </w:pPr>
    </w:p>
    <w:p w14:paraId="2A00813E">
      <w:pPr>
        <w:pStyle w:val="5"/>
        <w:ind w:left="119" w:firstLine="0" w:firstLineChars="0"/>
        <w:jc w:val="center"/>
        <w:rPr>
          <w:rFonts w:ascii="宋体" w:hAnsi="宋体" w:cs="Arial"/>
        </w:rPr>
      </w:pPr>
    </w:p>
    <w:p w14:paraId="25482E5D">
      <w:pPr>
        <w:pStyle w:val="5"/>
        <w:ind w:left="119" w:firstLine="0" w:firstLineChars="0"/>
        <w:jc w:val="center"/>
        <w:rPr>
          <w:rFonts w:ascii="宋体" w:hAnsi="宋体" w:cs="Arial"/>
        </w:rPr>
      </w:pPr>
    </w:p>
    <w:p w14:paraId="71B14468">
      <w:pPr>
        <w:pStyle w:val="5"/>
        <w:ind w:left="119" w:firstLine="0" w:firstLineChars="0"/>
        <w:jc w:val="center"/>
        <w:rPr>
          <w:rFonts w:ascii="宋体" w:hAnsi="宋体" w:cs="Arial"/>
        </w:rPr>
      </w:pPr>
    </w:p>
    <w:p w14:paraId="4D715A0B">
      <w:pPr>
        <w:pStyle w:val="5"/>
        <w:ind w:left="119" w:firstLine="0" w:firstLineChars="0"/>
        <w:jc w:val="center"/>
        <w:rPr>
          <w:rFonts w:ascii="宋体" w:hAnsi="宋体" w:cs="Arial"/>
        </w:rPr>
      </w:pPr>
    </w:p>
    <w:p w14:paraId="2E815B74">
      <w:pPr>
        <w:pStyle w:val="5"/>
        <w:ind w:left="119" w:firstLine="0" w:firstLineChars="0"/>
        <w:jc w:val="center"/>
        <w:rPr>
          <w:rFonts w:ascii="宋体" w:hAnsi="宋体" w:cs="Arial"/>
        </w:rPr>
      </w:pPr>
    </w:p>
    <w:p w14:paraId="507A0996">
      <w:pPr>
        <w:pStyle w:val="5"/>
        <w:ind w:left="119" w:firstLine="0" w:firstLineChars="0"/>
        <w:jc w:val="center"/>
        <w:rPr>
          <w:rFonts w:ascii="宋体" w:hAnsi="宋体" w:cs="Arial"/>
        </w:rPr>
      </w:pPr>
    </w:p>
    <w:p w14:paraId="65E4C464">
      <w:pPr>
        <w:pStyle w:val="5"/>
        <w:ind w:left="119" w:firstLine="0" w:firstLineChars="0"/>
        <w:jc w:val="center"/>
        <w:rPr>
          <w:rFonts w:hint="eastAsia" w:ascii="宋体" w:hAnsi="宋体" w:eastAsia="宋体" w:cs="宋体"/>
          <w:sz w:val="32"/>
          <w:szCs w:val="32"/>
        </w:rPr>
      </w:pPr>
      <w:r>
        <w:rPr>
          <w:rFonts w:hint="eastAsia" w:ascii="宋体" w:hAnsi="宋体" w:eastAsia="宋体" w:cs="宋体"/>
          <w:sz w:val="32"/>
          <w:szCs w:val="32"/>
        </w:rPr>
        <w:t>供应商：</w:t>
      </w:r>
      <w:r>
        <w:rPr>
          <w:rFonts w:hint="eastAsia" w:ascii="宋体" w:hAnsi="宋体" w:eastAsia="宋体" w:cs="宋体"/>
          <w:sz w:val="32"/>
          <w:szCs w:val="32"/>
          <w:u w:val="single"/>
        </w:rPr>
        <w:tab/>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（盖章）</w:t>
      </w:r>
    </w:p>
    <w:p w14:paraId="6CD9B2E5">
      <w:pPr>
        <w:pStyle w:val="5"/>
        <w:ind w:firstLine="1280" w:firstLineChars="400"/>
        <w:jc w:val="both"/>
        <w:rPr>
          <w:rFonts w:hint="eastAsia" w:ascii="宋体" w:hAnsi="宋体" w:eastAsia="宋体" w:cs="宋体"/>
          <w:sz w:val="32"/>
          <w:szCs w:val="32"/>
        </w:rPr>
      </w:pPr>
      <w:r>
        <w:rPr>
          <w:rFonts w:hint="eastAsia" w:ascii="宋体" w:hAnsi="宋体" w:eastAsia="宋体" w:cs="宋体"/>
          <w:sz w:val="32"/>
          <w:szCs w:val="32"/>
        </w:rPr>
        <w:t>日  期：</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日</w:t>
      </w:r>
    </w:p>
    <w:p w14:paraId="1F2E2B5D">
      <w:pPr>
        <w:ind w:firstLine="0" w:firstLineChars="0"/>
        <w:jc w:val="left"/>
        <w:rPr>
          <w:rFonts w:ascii="宋体" w:hAnsi="宋体"/>
          <w:szCs w:val="24"/>
        </w:rPr>
      </w:pPr>
    </w:p>
    <w:p w14:paraId="7E6E6C5E">
      <w:pPr>
        <w:ind w:firstLine="480"/>
        <w:rPr>
          <w:rFonts w:ascii="宋体" w:hAnsi="宋体"/>
          <w:szCs w:val="24"/>
        </w:rPr>
      </w:pPr>
    </w:p>
    <w:p w14:paraId="1C823477">
      <w:pPr>
        <w:pStyle w:val="5"/>
        <w:numPr>
          <w:ilvl w:val="0"/>
          <w:numId w:val="0"/>
        </w:numPr>
        <w:jc w:val="both"/>
        <w:rPr>
          <w:rFonts w:hint="default"/>
          <w:b/>
          <w:bCs/>
          <w:color w:val="auto"/>
          <w:sz w:val="40"/>
          <w:szCs w:val="32"/>
          <w:lang w:val="en-US" w:eastAsia="zh-CN"/>
        </w:rPr>
      </w:pPr>
      <w:r>
        <w:br w:type="page"/>
      </w:r>
      <w:bookmarkEnd w:id="3"/>
      <w:bookmarkEnd w:id="4"/>
      <w:bookmarkEnd w:id="5"/>
    </w:p>
    <w:p w14:paraId="3BD0B00C">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报价函</w:t>
      </w:r>
    </w:p>
    <w:p w14:paraId="4C98D137">
      <w:pPr>
        <w:tabs>
          <w:tab w:val="left" w:pos="6300"/>
        </w:tabs>
        <w:snapToGrid w:val="0"/>
        <w:spacing w:line="312" w:lineRule="auto"/>
        <w:rPr>
          <w:rFonts w:hint="eastAsia" w:asciiTheme="minorEastAsia" w:hAnsiTheme="minorEastAsia" w:eastAsiaTheme="minorEastAsia" w:cstheme="minorEastAsia"/>
          <w:sz w:val="24"/>
          <w:u w:val="single"/>
        </w:rPr>
      </w:pPr>
    </w:p>
    <w:p w14:paraId="46FC0762">
      <w:pPr>
        <w:tabs>
          <w:tab w:val="left" w:pos="6300"/>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重庆市巴南建设（集团）有限公司</w:t>
      </w:r>
      <w:r>
        <w:rPr>
          <w:rFonts w:hint="eastAsia" w:asciiTheme="minorEastAsia" w:hAnsiTheme="minorEastAsia" w:eastAsiaTheme="minorEastAsia" w:cstheme="minorEastAsia"/>
          <w:sz w:val="28"/>
          <w:szCs w:val="28"/>
        </w:rPr>
        <w:t>：</w:t>
      </w:r>
    </w:p>
    <w:p w14:paraId="3387101E">
      <w:pPr>
        <w:tabs>
          <w:tab w:val="left" w:pos="560"/>
          <w:tab w:val="left" w:pos="6300"/>
        </w:tabs>
        <w:wordWrap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我方收到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（项目名称）关于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（供应事项）的通知，经详细研究，决定参加该项目的比选报价活动。</w:t>
      </w:r>
    </w:p>
    <w:p w14:paraId="057C79DF">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1.愿意按照邀请通知的内容，</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eastAsiaTheme="minorEastAsia" w:cstheme="minorEastAsia"/>
          <w:sz w:val="28"/>
          <w:szCs w:val="28"/>
        </w:rPr>
        <w:t>本项目的</w:t>
      </w:r>
      <w:r>
        <w:rPr>
          <w:rFonts w:hint="eastAsia" w:asciiTheme="minorEastAsia" w:hAnsiTheme="minorEastAsia" w:eastAsiaTheme="minorEastAsia" w:cstheme="minorEastAsia"/>
          <w:sz w:val="28"/>
          <w:szCs w:val="28"/>
          <w:lang w:val="en-US" w:eastAsia="zh-CN"/>
        </w:rPr>
        <w:t>含税总</w:t>
      </w:r>
      <w:r>
        <w:rPr>
          <w:rFonts w:hint="eastAsia" w:asciiTheme="minorEastAsia" w:hAnsiTheme="minorEastAsia" w:eastAsiaTheme="minorEastAsia" w:cstheme="minorEastAsia"/>
          <w:sz w:val="28"/>
          <w:szCs w:val="28"/>
        </w:rPr>
        <w:t>报价为人民币</w:t>
      </w:r>
      <w:r>
        <w:rPr>
          <w:rFonts w:hint="eastAsia" w:asciiTheme="minorEastAsia" w:hAnsiTheme="minorEastAsia" w:eastAsiaTheme="minorEastAsia" w:cstheme="minorEastAsia"/>
          <w:sz w:val="28"/>
          <w:szCs w:val="28"/>
          <w:lang w:val="en-US" w:eastAsia="zh-CN"/>
        </w:rPr>
        <w:t>小</w:t>
      </w:r>
      <w:r>
        <w:rPr>
          <w:rFonts w:hint="eastAsia" w:asciiTheme="minorEastAsia" w:hAnsiTheme="minorEastAsia" w:eastAsiaTheme="minorEastAsia" w:cstheme="minorEastAsia"/>
          <w:sz w:val="28"/>
          <w:szCs w:val="28"/>
        </w:rPr>
        <w:t>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元；人民币</w:t>
      </w:r>
      <w:r>
        <w:rPr>
          <w:rFonts w:hint="eastAsia" w:asciiTheme="minorEastAsia" w:hAnsiTheme="minorEastAsia" w:eastAsiaTheme="minorEastAsia" w:cstheme="minorEastAsia"/>
          <w:sz w:val="28"/>
          <w:szCs w:val="28"/>
          <w:lang w:val="en-US" w:eastAsia="zh-CN"/>
        </w:rPr>
        <w:t>大</w:t>
      </w:r>
      <w:r>
        <w:rPr>
          <w:rFonts w:hint="eastAsia" w:asciiTheme="minorEastAsia" w:hAnsiTheme="minorEastAsia" w:eastAsiaTheme="minorEastAsia" w:cstheme="minorEastAsia"/>
          <w:sz w:val="28"/>
          <w:szCs w:val="28"/>
        </w:rPr>
        <w:t>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eastAsia="zh-CN"/>
        </w:rPr>
        <w:t>。</w:t>
      </w:r>
    </w:p>
    <w:p w14:paraId="72B37C73">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2.我方完全理解和接受贵方一切规定和评审评定办法。</w:t>
      </w:r>
    </w:p>
    <w:p w14:paraId="41700D82">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3.在整个竞选过程中，我方若有违规行为，接受按照相关规定给予惩罚。</w:t>
      </w:r>
    </w:p>
    <w:p w14:paraId="45422241">
      <w:pPr>
        <w:tabs>
          <w:tab w:val="left" w:pos="6300"/>
        </w:tabs>
        <w:snapToGrid w:val="0"/>
        <w:spacing w:line="36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4.我方若有幸成为中标供应商，将按照本次</w:t>
      </w:r>
      <w:r>
        <w:rPr>
          <w:rFonts w:hint="eastAsia" w:asciiTheme="minorEastAsia" w:hAnsiTheme="minorEastAsia" w:eastAsiaTheme="minorEastAsia" w:cstheme="minorEastAsia"/>
          <w:sz w:val="28"/>
          <w:szCs w:val="28"/>
          <w:lang w:val="en-US" w:eastAsia="zh-CN"/>
        </w:rPr>
        <w:t>报价原则</w:t>
      </w:r>
      <w:r>
        <w:rPr>
          <w:rFonts w:hint="eastAsia" w:asciiTheme="minorEastAsia" w:hAnsiTheme="minorEastAsia" w:eastAsiaTheme="minorEastAsia" w:cstheme="minorEastAsia"/>
          <w:sz w:val="28"/>
          <w:szCs w:val="28"/>
        </w:rPr>
        <w:t>签订合同，并且严格履行合同义务。本报价函将成为合同不可分割的一部分，与合同具有同等的法律效力。</w:t>
      </w:r>
    </w:p>
    <w:p w14:paraId="60162E5C">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.我方</w:t>
      </w:r>
      <w:r>
        <w:rPr>
          <w:rFonts w:hint="eastAsia" w:asciiTheme="minorEastAsia" w:hAnsiTheme="minorEastAsia" w:eastAsiaTheme="minorEastAsia" w:cstheme="minorEastAsia"/>
          <w:sz w:val="28"/>
          <w:szCs w:val="28"/>
          <w:lang w:val="en-US" w:eastAsia="zh-CN"/>
        </w:rPr>
        <w:t>知晓并</w:t>
      </w:r>
      <w:r>
        <w:rPr>
          <w:rFonts w:hint="eastAsia" w:asciiTheme="minorEastAsia" w:hAnsiTheme="minorEastAsia" w:eastAsiaTheme="minorEastAsia" w:cstheme="minorEastAsia"/>
          <w:sz w:val="28"/>
          <w:szCs w:val="28"/>
        </w:rPr>
        <w:t>同意</w:t>
      </w:r>
      <w:r>
        <w:rPr>
          <w:rFonts w:hint="eastAsia" w:asciiTheme="minorEastAsia" w:hAnsiTheme="minorEastAsia" w:eastAsiaTheme="minorEastAsia" w:cstheme="minorEastAsia"/>
          <w:sz w:val="28"/>
          <w:szCs w:val="28"/>
          <w:lang w:val="en-US" w:eastAsia="zh-CN"/>
        </w:rPr>
        <w:t>比选文件的所有内容</w:t>
      </w:r>
      <w:r>
        <w:rPr>
          <w:rFonts w:hint="eastAsia" w:asciiTheme="minorEastAsia" w:hAnsiTheme="minorEastAsia" w:eastAsiaTheme="minorEastAsia" w:cstheme="minorEastAsia"/>
          <w:sz w:val="28"/>
          <w:szCs w:val="28"/>
        </w:rPr>
        <w:t>，严格履行相关义务。</w:t>
      </w:r>
    </w:p>
    <w:p w14:paraId="013FC24D">
      <w:pPr>
        <w:rPr>
          <w:rFonts w:hint="eastAsia" w:asciiTheme="minorEastAsia" w:hAnsiTheme="minorEastAsia" w:eastAsiaTheme="minorEastAsia" w:cstheme="minorEastAsia"/>
        </w:rPr>
      </w:pPr>
    </w:p>
    <w:p w14:paraId="7BF204DE">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3C8FBEA">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xml:space="preserve">                                  </w:t>
      </w:r>
    </w:p>
    <w:p w14:paraId="7FC956DF">
      <w:pPr>
        <w:tabs>
          <w:tab w:val="left" w:pos="6300"/>
        </w:tabs>
        <w:snapToGrid w:val="0"/>
        <w:spacing w:line="312" w:lineRule="auto"/>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箱：</w:t>
      </w:r>
      <w:r>
        <w:rPr>
          <w:rFonts w:hint="eastAsia" w:asciiTheme="minorEastAsia" w:hAnsiTheme="minorEastAsia" w:eastAsiaTheme="minorEastAsia" w:cstheme="minorEastAsia"/>
          <w:sz w:val="28"/>
          <w:szCs w:val="28"/>
          <w:u w:val="single"/>
        </w:rPr>
        <w:t xml:space="preserve">                                  </w:t>
      </w:r>
    </w:p>
    <w:p w14:paraId="4FCF709B">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w:t>
      </w:r>
      <w:r>
        <w:rPr>
          <w:rFonts w:hint="eastAsia" w:asciiTheme="minorEastAsia" w:hAnsiTheme="minorEastAsia" w:eastAsiaTheme="minorEastAsia" w:cstheme="minorEastAsia"/>
          <w:sz w:val="28"/>
          <w:szCs w:val="28"/>
          <w:u w:val="single"/>
        </w:rPr>
        <w:t xml:space="preserve">                        （盖章）  </w:t>
      </w:r>
    </w:p>
    <w:p w14:paraId="5E6DEF0E">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u w:val="single"/>
        </w:rPr>
        <w:t xml:space="preserve">                                  </w:t>
      </w:r>
    </w:p>
    <w:p w14:paraId="2E39E876">
      <w:pPr>
        <w:pStyle w:val="5"/>
        <w:rPr>
          <w:rFonts w:hint="eastAsia"/>
        </w:rPr>
        <w:sectPr>
          <w:pgSz w:w="11906" w:h="16838"/>
          <w:pgMar w:top="1440" w:right="1800" w:bottom="1440" w:left="1800" w:header="851" w:footer="992" w:gutter="0"/>
          <w:cols w:space="425" w:num="1"/>
          <w:docGrid w:type="lines" w:linePitch="312" w:charSpace="0"/>
        </w:sectPr>
      </w:pPr>
    </w:p>
    <w:p w14:paraId="12E0CC65">
      <w:pPr>
        <w:numPr>
          <w:ilvl w:val="0"/>
          <w:numId w:val="3"/>
        </w:numPr>
        <w:tabs>
          <w:tab w:val="left" w:pos="6300"/>
        </w:tabs>
        <w:snapToGrid w:val="0"/>
        <w:spacing w:line="480" w:lineRule="exact"/>
        <w:jc w:val="left"/>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报价清单</w:t>
      </w:r>
    </w:p>
    <w:p w14:paraId="34C8F36E">
      <w:pPr>
        <w:numPr>
          <w:ilvl w:val="0"/>
          <w:numId w:val="0"/>
        </w:numPr>
        <w:tabs>
          <w:tab w:val="left" w:pos="6300"/>
        </w:tabs>
        <w:snapToGrid w:val="0"/>
        <w:spacing w:line="480" w:lineRule="exact"/>
        <w:jc w:val="both"/>
        <w:outlineLvl w:val="0"/>
        <w:rPr>
          <w:rFonts w:hint="eastAsia" w:asciiTheme="minorEastAsia" w:hAnsiTheme="minorEastAsia" w:eastAsiaTheme="minorEastAsia" w:cstheme="minorEastAsia"/>
          <w:b/>
          <w:bCs/>
          <w:color w:val="auto"/>
          <w:kern w:val="2"/>
          <w:sz w:val="44"/>
          <w:szCs w:val="44"/>
          <w:highlight w:val="none"/>
          <w:lang w:val="en-US" w:eastAsia="zh-CN" w:bidi="ar-SA"/>
        </w:rPr>
      </w:pPr>
    </w:p>
    <w:tbl>
      <w:tblPr>
        <w:tblStyle w:val="12"/>
        <w:tblW w:w="14672" w:type="dxa"/>
        <w:tblInd w:w="-1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1050"/>
        <w:gridCol w:w="1181"/>
        <w:gridCol w:w="675"/>
        <w:gridCol w:w="1107"/>
        <w:gridCol w:w="1575"/>
        <w:gridCol w:w="1575"/>
        <w:gridCol w:w="1631"/>
        <w:gridCol w:w="1406"/>
        <w:gridCol w:w="1294"/>
        <w:gridCol w:w="2484"/>
      </w:tblGrid>
      <w:tr w14:paraId="1B2BB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67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5FD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2023年巴南区农村公路水毁整治项目（新增灾损点）</w:t>
            </w:r>
          </w:p>
        </w:tc>
      </w:tr>
      <w:tr w14:paraId="52E7F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1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1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3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2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A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7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限价（含税综合单价）（元）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A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限价合价（元）</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B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含税综合单价（元）</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4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C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质量标准</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B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D05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7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4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河砂</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C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8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9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0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5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21579.82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61B7">
            <w:pPr>
              <w:jc w:val="center"/>
              <w:rPr>
                <w:rFonts w:hint="eastAsia" w:ascii="宋体" w:hAnsi="宋体" w:eastAsia="宋体" w:cs="宋体"/>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B10F">
            <w:pPr>
              <w:jc w:val="center"/>
              <w:rPr>
                <w:rFonts w:hint="eastAsia" w:ascii="宋体" w:hAnsi="宋体" w:eastAsia="宋体" w:cs="宋体"/>
                <w:i w:val="0"/>
                <w:iCs w:val="0"/>
                <w:color w:val="000000"/>
                <w:sz w:val="22"/>
                <w:szCs w:val="22"/>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F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2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r>
              <w:rPr>
                <w:rStyle w:val="23"/>
                <w:lang w:val="en-US" w:eastAsia="zh-CN" w:bidi="ar"/>
              </w:rPr>
              <w:t>提供合格证及送货单、开具1%普通发票</w:t>
            </w:r>
          </w:p>
        </w:tc>
      </w:tr>
      <w:tr w14:paraId="2124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3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5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碎石</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425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7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8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2644.706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F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E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207027.59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021B">
            <w:pPr>
              <w:jc w:val="center"/>
              <w:rPr>
                <w:rFonts w:hint="eastAsia" w:ascii="宋体" w:hAnsi="宋体" w:eastAsia="宋体" w:cs="宋体"/>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1E5D">
            <w:pPr>
              <w:jc w:val="center"/>
              <w:rPr>
                <w:rFonts w:hint="eastAsia" w:ascii="宋体" w:hAnsi="宋体" w:eastAsia="宋体" w:cs="宋体"/>
                <w:i w:val="0"/>
                <w:iCs w:val="0"/>
                <w:color w:val="000000"/>
                <w:sz w:val="22"/>
                <w:szCs w:val="22"/>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7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1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提供合格证及送货单、开具1%普通发票</w:t>
            </w:r>
          </w:p>
        </w:tc>
      </w:tr>
      <w:tr w14:paraId="435B8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5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3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片石</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2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7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3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6325.02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F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C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547240.73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66F1">
            <w:pPr>
              <w:jc w:val="center"/>
              <w:rPr>
                <w:rFonts w:hint="eastAsia" w:ascii="宋体" w:hAnsi="宋体" w:eastAsia="宋体" w:cs="宋体"/>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6342">
            <w:pPr>
              <w:jc w:val="center"/>
              <w:rPr>
                <w:rFonts w:hint="eastAsia" w:ascii="宋体" w:hAnsi="宋体" w:eastAsia="宋体" w:cs="宋体"/>
                <w:i w:val="0"/>
                <w:iCs w:val="0"/>
                <w:color w:val="000000"/>
                <w:sz w:val="22"/>
                <w:szCs w:val="22"/>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D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C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提供合格证及送货单、开具1%普通发票</w:t>
            </w:r>
          </w:p>
        </w:tc>
      </w:tr>
      <w:tr w14:paraId="01A6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0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B37E">
            <w:pPr>
              <w:jc w:val="center"/>
              <w:rPr>
                <w:rFonts w:hint="eastAsia" w:ascii="宋体" w:hAnsi="宋体" w:eastAsia="宋体" w:cs="宋体"/>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CFAB">
            <w:pPr>
              <w:jc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9F98">
            <w:pPr>
              <w:jc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B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775848.13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BD04">
            <w:pPr>
              <w:jc w:val="center"/>
              <w:rPr>
                <w:rFonts w:hint="eastAsia" w:ascii="宋体" w:hAnsi="宋体" w:eastAsia="宋体" w:cs="宋体"/>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D5D7">
            <w:pPr>
              <w:jc w:val="center"/>
              <w:rPr>
                <w:rFonts w:hint="eastAsia" w:ascii="宋体" w:hAnsi="宋体" w:eastAsia="宋体" w:cs="宋体"/>
                <w:i w:val="0"/>
                <w:iCs w:val="0"/>
                <w:color w:val="000000"/>
                <w:sz w:val="22"/>
                <w:szCs w:val="22"/>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91AD">
            <w:pPr>
              <w:jc w:val="center"/>
              <w:rPr>
                <w:rFonts w:hint="eastAsia" w:ascii="宋体" w:hAnsi="宋体" w:eastAsia="宋体" w:cs="宋体"/>
                <w:i w:val="0"/>
                <w:iCs w:val="0"/>
                <w:color w:val="000000"/>
                <w:sz w:val="22"/>
                <w:szCs w:val="22"/>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8758">
            <w:pPr>
              <w:rPr>
                <w:rFonts w:hint="eastAsia" w:ascii="宋体" w:hAnsi="宋体" w:eastAsia="宋体" w:cs="宋体"/>
                <w:i w:val="0"/>
                <w:iCs w:val="0"/>
                <w:color w:val="000000"/>
                <w:sz w:val="22"/>
                <w:szCs w:val="22"/>
                <w:u w:val="none"/>
              </w:rPr>
            </w:pPr>
          </w:p>
        </w:tc>
      </w:tr>
    </w:tbl>
    <w:p w14:paraId="470AB7C9">
      <w:pPr>
        <w:pStyle w:val="11"/>
        <w:numPr>
          <w:ilvl w:val="0"/>
          <w:numId w:val="0"/>
        </w:numPr>
        <w:rPr>
          <w:rFonts w:hint="default" w:asciiTheme="minorEastAsia" w:hAnsiTheme="minorEastAsia" w:eastAsiaTheme="minorEastAsia" w:cstheme="minorEastAsia"/>
          <w:b/>
          <w:bCs/>
          <w:kern w:val="2"/>
          <w:sz w:val="28"/>
          <w:szCs w:val="28"/>
          <w:highlight w:val="none"/>
          <w:lang w:val="en-US" w:eastAsia="zh-CN" w:bidi="ar-SA"/>
        </w:rPr>
        <w:sectPr>
          <w:pgSz w:w="16838" w:h="11906" w:orient="landscape"/>
          <w:pgMar w:top="1800" w:right="1440" w:bottom="1800" w:left="1440" w:header="851" w:footer="992" w:gutter="0"/>
          <w:cols w:space="425" w:num="1"/>
          <w:docGrid w:type="lines" w:linePitch="312" w:charSpace="0"/>
        </w:sectPr>
      </w:pPr>
    </w:p>
    <w:p w14:paraId="35778FD5">
      <w:pPr>
        <w:pStyle w:val="3"/>
        <w:spacing w:before="120"/>
        <w:jc w:val="center"/>
        <w:rPr>
          <w:rFonts w:hint="eastAsia" w:ascii="宋体" w:hAnsi="宋体" w:eastAsia="宋体" w:cs="宋体"/>
          <w:sz w:val="40"/>
          <w:szCs w:val="44"/>
        </w:rPr>
      </w:pPr>
      <w:bookmarkStart w:id="6" w:name="_Toc147"/>
      <w:bookmarkStart w:id="7" w:name="_Toc527708269"/>
      <w:bookmarkStart w:id="8" w:name="_Toc24514"/>
      <w:bookmarkStart w:id="9" w:name="_Toc14926"/>
      <w:bookmarkStart w:id="10" w:name="_Toc28964"/>
      <w:bookmarkStart w:id="11" w:name="_Toc1003"/>
      <w:bookmarkStart w:id="12" w:name="_Toc8422"/>
      <w:bookmarkStart w:id="13" w:name="_Toc527560962"/>
      <w:bookmarkStart w:id="14" w:name="_Toc22297"/>
      <w:r>
        <w:rPr>
          <w:rFonts w:hint="eastAsia" w:ascii="宋体" w:hAnsi="宋体" w:eastAsia="宋体" w:cs="宋体"/>
          <w:sz w:val="40"/>
          <w:szCs w:val="44"/>
          <w:lang w:eastAsia="zh-CN"/>
        </w:rPr>
        <w:t>（</w:t>
      </w:r>
      <w:r>
        <w:rPr>
          <w:rFonts w:hint="eastAsia" w:ascii="宋体" w:hAnsi="宋体" w:eastAsia="宋体" w:cs="宋体"/>
          <w:sz w:val="40"/>
          <w:szCs w:val="44"/>
          <w:lang w:val="en-US" w:eastAsia="zh-CN"/>
        </w:rPr>
        <w:t>三</w:t>
      </w:r>
      <w:r>
        <w:rPr>
          <w:rFonts w:hint="eastAsia" w:ascii="宋体" w:hAnsi="宋体" w:eastAsia="宋体" w:cs="宋体"/>
          <w:sz w:val="40"/>
          <w:szCs w:val="44"/>
          <w:lang w:eastAsia="zh-CN"/>
        </w:rPr>
        <w:t>）</w:t>
      </w:r>
      <w:r>
        <w:rPr>
          <w:rFonts w:hint="eastAsia" w:ascii="宋体" w:hAnsi="宋体" w:eastAsia="宋体" w:cs="宋体"/>
          <w:sz w:val="40"/>
          <w:szCs w:val="44"/>
        </w:rPr>
        <w:t>授权委托书</w:t>
      </w:r>
      <w:bookmarkEnd w:id="6"/>
      <w:bookmarkEnd w:id="7"/>
      <w:bookmarkEnd w:id="8"/>
      <w:bookmarkEnd w:id="9"/>
      <w:bookmarkEnd w:id="10"/>
      <w:bookmarkEnd w:id="11"/>
      <w:bookmarkEnd w:id="12"/>
      <w:bookmarkEnd w:id="13"/>
      <w:bookmarkEnd w:id="14"/>
    </w:p>
    <w:p w14:paraId="689AF38A">
      <w:pPr>
        <w:ind w:firstLine="480"/>
        <w:rPr>
          <w:rFonts w:eastAsia="黑体"/>
        </w:rPr>
      </w:pPr>
    </w:p>
    <w:p w14:paraId="30D1054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w:t>
      </w:r>
      <w:r>
        <w:rPr>
          <w:rFonts w:hint="eastAsia" w:asciiTheme="minorEastAsia" w:hAnsiTheme="minorEastAsia" w:eastAsiaTheme="minorEastAsia" w:cstheme="minorEastAsia"/>
          <w:sz w:val="24"/>
          <w:szCs w:val="24"/>
          <w:u w:val="single"/>
        </w:rPr>
        <w:t>（姓名）</w:t>
      </w: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（供应商名称）</w:t>
      </w:r>
      <w:r>
        <w:rPr>
          <w:rFonts w:hint="eastAsia" w:asciiTheme="minorEastAsia" w:hAnsiTheme="minorEastAsia" w:eastAsiaTheme="minorEastAsia" w:cstheme="minorEastAsia"/>
          <w:sz w:val="24"/>
          <w:szCs w:val="24"/>
        </w:rPr>
        <w:t>的法定代表人</w:t>
      </w:r>
      <w:r>
        <w:rPr>
          <w:rFonts w:hint="eastAsia" w:asciiTheme="minorEastAsia" w:hAnsiTheme="minorEastAsia" w:eastAsiaTheme="minorEastAsia" w:cstheme="minorEastAsia"/>
          <w:sz w:val="24"/>
          <w:szCs w:val="24"/>
          <w:u w:val="single"/>
        </w:rPr>
        <w:t>（单位负责人）</w:t>
      </w:r>
      <w:r>
        <w:rPr>
          <w:rFonts w:hint="eastAsia" w:asciiTheme="minorEastAsia" w:hAnsiTheme="minorEastAsia" w:eastAsiaTheme="minorEastAsia" w:cstheme="minorEastAsia"/>
          <w:sz w:val="24"/>
          <w:szCs w:val="24"/>
        </w:rPr>
        <w:t>，现委托</w:t>
      </w:r>
      <w:r>
        <w:rPr>
          <w:rFonts w:hint="eastAsia" w:asciiTheme="minorEastAsia" w:hAnsiTheme="minorEastAsia" w:eastAsiaTheme="minorEastAsia" w:cstheme="minorEastAsia"/>
          <w:sz w:val="24"/>
          <w:szCs w:val="24"/>
          <w:u w:val="single"/>
        </w:rPr>
        <w:t>（姓名）</w:t>
      </w:r>
      <w:r>
        <w:rPr>
          <w:rFonts w:hint="eastAsia" w:asciiTheme="minorEastAsia" w:hAnsiTheme="minorEastAsia" w:eastAsiaTheme="minorEastAsia" w:cstheme="minorEastAsia"/>
          <w:sz w:val="24"/>
          <w:szCs w:val="24"/>
        </w:rPr>
        <w:t xml:space="preserve">为我方代理人。代理人根据授权，以我方名义签署、澄清确认、递交、撤回、修改 </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采购项目响应文件、签订合同和处理有关事宜，其法律后果由我方承担。</w:t>
      </w:r>
    </w:p>
    <w:p w14:paraId="3B57020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FFA459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代理人无转委托权。</w:t>
      </w:r>
    </w:p>
    <w:p w14:paraId="20E8E6E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附：法定代表人（单位负责人）身份证复印件及委托代理人身份证复印件</w:t>
      </w:r>
    </w:p>
    <w:p w14:paraId="33B61D17">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1B6B7200">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注：本授权委托书需由供应商加盖单位公章并由其法定代表人签字</w:t>
      </w:r>
      <w:r>
        <w:rPr>
          <w:rFonts w:hint="eastAsia" w:asciiTheme="minorEastAsia" w:hAnsiTheme="minorEastAsia" w:eastAsiaTheme="minorEastAsia" w:cstheme="minorEastAsia"/>
          <w:sz w:val="24"/>
          <w:szCs w:val="24"/>
          <w:lang w:eastAsia="zh-CN"/>
        </w:rPr>
        <w:t>或盖章</w:t>
      </w:r>
      <w:r>
        <w:rPr>
          <w:rFonts w:hint="eastAsia" w:asciiTheme="minorEastAsia" w:hAnsiTheme="minorEastAsia" w:eastAsiaTheme="minorEastAsia" w:cstheme="minorEastAsia"/>
          <w:sz w:val="24"/>
          <w:szCs w:val="24"/>
        </w:rPr>
        <w:t>。</w:t>
      </w:r>
    </w:p>
    <w:p w14:paraId="355D4A98">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1B45330A">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 xml:space="preserve">（单位公章）                           </w:t>
      </w:r>
      <w:r>
        <w:rPr>
          <w:rFonts w:hint="eastAsia" w:asciiTheme="minorEastAsia" w:hAnsiTheme="minorEastAsia" w:eastAsiaTheme="minorEastAsia" w:cstheme="minorEastAsia"/>
          <w:sz w:val="24"/>
          <w:szCs w:val="24"/>
          <w:u w:val="single"/>
          <w:lang w:val="en-US" w:eastAsia="zh-CN"/>
        </w:rPr>
        <w:t xml:space="preserve">   </w:t>
      </w:r>
    </w:p>
    <w:p w14:paraId="71604882">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rPr>
      </w:pPr>
    </w:p>
    <w:p w14:paraId="71544060">
      <w:pPr>
        <w:keepNext w:val="0"/>
        <w:keepLines w:val="0"/>
        <w:pageBreakBefore w:val="0"/>
        <w:widowControl w:val="0"/>
        <w:kinsoku/>
        <w:wordWrap/>
        <w:overflowPunct/>
        <w:topLinePunct w:val="0"/>
        <w:autoSpaceDE/>
        <w:autoSpaceDN/>
        <w:bidi w:val="0"/>
        <w:adjustRightInd/>
        <w:snapToGrid/>
        <w:spacing w:line="440" w:lineRule="exact"/>
        <w:ind w:firstLine="3074" w:firstLineChars="128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（签字</w:t>
      </w:r>
      <w:r>
        <w:rPr>
          <w:rFonts w:hint="eastAsia" w:asciiTheme="minorEastAsia" w:hAnsiTheme="minorEastAsia" w:eastAsiaTheme="minorEastAsia" w:cstheme="minorEastAsia"/>
          <w:sz w:val="24"/>
          <w:szCs w:val="24"/>
          <w:u w:val="single"/>
          <w:lang w:eastAsia="zh-CN"/>
        </w:rPr>
        <w:t>或盖章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11158840">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rPr>
      </w:pPr>
    </w:p>
    <w:p w14:paraId="24DE9CDE">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u w:val="single"/>
        </w:rPr>
        <w:t xml:space="preserve">（签字）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5DE78FC6">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rPr>
      </w:pPr>
    </w:p>
    <w:p w14:paraId="475B5B75">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单位电话（座机）：</w:t>
      </w:r>
      <w:r>
        <w:rPr>
          <w:rFonts w:hint="eastAsia" w:asciiTheme="minorEastAsia" w:hAnsiTheme="minorEastAsia" w:eastAsiaTheme="minorEastAsia" w:cstheme="minorEastAsia"/>
          <w:sz w:val="24"/>
          <w:szCs w:val="24"/>
          <w:u w:val="single"/>
          <w:lang w:val="en-US" w:eastAsia="zh-CN"/>
        </w:rPr>
        <w:t xml:space="preserve">                                </w:t>
      </w:r>
    </w:p>
    <w:p w14:paraId="0EBAE61B">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rPr>
      </w:pPr>
    </w:p>
    <w:p w14:paraId="4CAD3BF6">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委托代理人电话（手机）：</w:t>
      </w:r>
      <w:r>
        <w:rPr>
          <w:rFonts w:hint="eastAsia" w:asciiTheme="minorEastAsia" w:hAnsiTheme="minorEastAsia" w:eastAsiaTheme="minorEastAsia" w:cstheme="minorEastAsia"/>
          <w:sz w:val="24"/>
          <w:szCs w:val="24"/>
          <w:u w:val="single"/>
          <w:lang w:val="en-US" w:eastAsia="zh-CN"/>
        </w:rPr>
        <w:t xml:space="preserve">                        </w:t>
      </w:r>
    </w:p>
    <w:p w14:paraId="0616D430">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p>
    <w:p w14:paraId="2B965882">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p>
    <w:p w14:paraId="09853F18">
      <w:pPr>
        <w:keepNext w:val="0"/>
        <w:keepLines w:val="0"/>
        <w:pageBreakBefore w:val="0"/>
        <w:widowControl w:val="0"/>
        <w:kinsoku/>
        <w:wordWrap/>
        <w:overflowPunct/>
        <w:topLinePunct w:val="0"/>
        <w:autoSpaceDE/>
        <w:autoSpaceDN/>
        <w:bidi w:val="0"/>
        <w:adjustRightInd/>
        <w:snapToGrid/>
        <w:spacing w:line="440" w:lineRule="exact"/>
        <w:ind w:firstLine="4876" w:firstLineChars="203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BD7861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27F86FC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注：如供应商法定代表人参加采购行为，只需附其身份证复印件</w:t>
      </w:r>
    </w:p>
    <w:p w14:paraId="190B396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3C170738">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3AFA9B4B">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7303E793">
      <w:pPr>
        <w:pStyle w:val="3"/>
        <w:spacing w:before="120"/>
        <w:ind w:left="0" w:leftChars="0" w:firstLine="0" w:firstLineChars="0"/>
        <w:jc w:val="both"/>
        <w:rPr>
          <w:rFonts w:hint="eastAsia" w:ascii="宋体" w:hAnsi="宋体" w:eastAsia="宋体" w:cs="宋体"/>
          <w:sz w:val="40"/>
          <w:szCs w:val="44"/>
          <w:lang w:eastAsia="zh-CN"/>
        </w:rPr>
      </w:pPr>
    </w:p>
    <w:p w14:paraId="03AEECE7">
      <w:pPr>
        <w:pStyle w:val="3"/>
        <w:spacing w:before="120"/>
        <w:ind w:left="0" w:leftChars="0" w:firstLine="0" w:firstLineChars="0"/>
        <w:jc w:val="both"/>
        <w:rPr>
          <w:rFonts w:hint="default" w:ascii="宋体" w:hAnsi="宋体" w:eastAsia="宋体" w:cs="宋体"/>
          <w:sz w:val="40"/>
          <w:szCs w:val="4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40"/>
          <w:szCs w:val="44"/>
          <w:lang w:eastAsia="zh-CN"/>
        </w:rPr>
        <w:t>（</w:t>
      </w:r>
      <w:r>
        <w:rPr>
          <w:rFonts w:hint="eastAsia" w:ascii="宋体" w:hAnsi="宋体" w:eastAsia="宋体" w:cs="宋体"/>
          <w:sz w:val="40"/>
          <w:szCs w:val="44"/>
          <w:lang w:val="en-US" w:eastAsia="zh-CN"/>
        </w:rPr>
        <w:t>四</w:t>
      </w:r>
      <w:r>
        <w:rPr>
          <w:rFonts w:hint="eastAsia" w:ascii="宋体" w:hAnsi="宋体" w:eastAsia="宋体" w:cs="宋体"/>
          <w:sz w:val="40"/>
          <w:szCs w:val="44"/>
          <w:lang w:eastAsia="zh-CN"/>
        </w:rPr>
        <w:t>）</w:t>
      </w:r>
      <w:r>
        <w:rPr>
          <w:rFonts w:hint="eastAsia" w:ascii="宋体" w:hAnsi="宋体" w:eastAsia="宋体" w:cs="宋体"/>
          <w:sz w:val="40"/>
          <w:szCs w:val="44"/>
          <w:lang w:val="en-US" w:eastAsia="zh-CN"/>
        </w:rPr>
        <w:t>公司营业执照</w:t>
      </w:r>
    </w:p>
    <w:p w14:paraId="7E65043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第三章  合同范本</w:t>
      </w:r>
    </w:p>
    <w:p w14:paraId="283F14BD">
      <w:pPr>
        <w:pStyle w:val="11"/>
        <w:numPr>
          <w:ilvl w:val="0"/>
          <w:numId w:val="0"/>
        </w:numPr>
        <w:ind w:left="420" w:leftChars="0"/>
        <w:jc w:val="both"/>
        <w:rPr>
          <w:rFonts w:hint="eastAsia" w:asciiTheme="minorEastAsia" w:hAnsiTheme="minorEastAsia" w:eastAsiaTheme="minorEastAsia" w:cstheme="minorEastAsia"/>
          <w:b/>
          <w:bCs/>
          <w:kern w:val="2"/>
          <w:sz w:val="48"/>
          <w:szCs w:val="48"/>
          <w:highlight w:val="none"/>
          <w:lang w:val="en-US" w:eastAsia="zh-CN" w:bidi="ar-SA"/>
        </w:rPr>
      </w:pPr>
    </w:p>
    <w:p w14:paraId="237ACD0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6"/>
          <w:szCs w:val="3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36"/>
          <w:szCs w:val="36"/>
          <w14:textFill>
            <w14:solidFill>
              <w14:schemeClr w14:val="tx1"/>
            </w14:solidFill>
          </w14:textFill>
        </w:rPr>
        <w:t>购销合同</w:t>
      </w:r>
    </w:p>
    <w:p w14:paraId="3C284ABF">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right"/>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r>
        <w:rPr>
          <w:rFonts w:hint="eastAsia" w:asciiTheme="minorEastAsia" w:hAnsiTheme="minorEastAsia" w:eastAsiaTheme="minorEastAsia" w:cstheme="minorEastAsia"/>
          <w:color w:val="000000" w:themeColor="text1"/>
          <w:szCs w:val="28"/>
          <w14:textFill>
            <w14:solidFill>
              <w14:schemeClr w14:val="tx1"/>
            </w14:solidFill>
          </w14:textFill>
        </w:rPr>
        <w:t xml:space="preserve">（合同编号：     </w:t>
      </w:r>
      <w:r>
        <w:rPr>
          <w:rFonts w:hint="eastAsia" w:asciiTheme="minorEastAsia" w:hAnsiTheme="minorEastAsia" w:eastAsiaTheme="minorEastAsia" w:cstheme="minorEastAsia"/>
          <w:color w:val="000000" w:themeColor="text1"/>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8"/>
          <w14:textFill>
            <w14:solidFill>
              <w14:schemeClr w14:val="tx1"/>
            </w14:solidFill>
          </w14:textFill>
        </w:rPr>
        <w:t>）</w:t>
      </w:r>
    </w:p>
    <w:p w14:paraId="0A8739C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p w14:paraId="1085093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甲方（买受方）：重庆市巴南建设（集团）有限公司</w:t>
      </w:r>
    </w:p>
    <w:p w14:paraId="28A4F28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统一社会信用代码：91500113203436859R</w:t>
      </w:r>
    </w:p>
    <w:p w14:paraId="23FA997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乙方（出卖方）：</w:t>
      </w:r>
    </w:p>
    <w:p w14:paraId="05AC2D9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统一社会信用代码：</w:t>
      </w:r>
    </w:p>
    <w:p w14:paraId="0BE4594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568A91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根据《中华人民共和国民法典》及相关法律、法规的规定，甲方因</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项目建设需要购买乙方产品，双方在充分协商一致的基础上，本着平等、自愿、公平和诚实信用的原则，达成以下合同条款，供双方共同遵守。</w:t>
      </w:r>
    </w:p>
    <w:p w14:paraId="07948687">
      <w:pPr>
        <w:keepNext w:val="0"/>
        <w:keepLines w:val="0"/>
        <w:pageBreakBefore w:val="0"/>
        <w:widowControl w:val="0"/>
        <w:numPr>
          <w:ilvl w:val="0"/>
          <w:numId w:val="4"/>
        </w:numPr>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标的物</w:t>
      </w:r>
    </w:p>
    <w:tbl>
      <w:tblPr>
        <w:tblStyle w:val="12"/>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83"/>
        <w:gridCol w:w="692"/>
        <w:gridCol w:w="692"/>
        <w:gridCol w:w="692"/>
        <w:gridCol w:w="692"/>
        <w:gridCol w:w="692"/>
        <w:gridCol w:w="715"/>
        <w:gridCol w:w="1016"/>
        <w:gridCol w:w="1041"/>
        <w:gridCol w:w="1032"/>
      </w:tblGrid>
      <w:tr w14:paraId="686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5" w:type="dxa"/>
            <w:vAlign w:val="center"/>
          </w:tcPr>
          <w:p w14:paraId="73EABD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序号</w:t>
            </w:r>
          </w:p>
        </w:tc>
        <w:tc>
          <w:tcPr>
            <w:tcW w:w="883" w:type="dxa"/>
            <w:vAlign w:val="center"/>
          </w:tcPr>
          <w:p w14:paraId="58BF84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品名</w:t>
            </w:r>
          </w:p>
        </w:tc>
        <w:tc>
          <w:tcPr>
            <w:tcW w:w="692" w:type="dxa"/>
            <w:vAlign w:val="center"/>
          </w:tcPr>
          <w:p w14:paraId="70AA90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规格型号</w:t>
            </w:r>
          </w:p>
        </w:tc>
        <w:tc>
          <w:tcPr>
            <w:tcW w:w="692" w:type="dxa"/>
            <w:vAlign w:val="center"/>
          </w:tcPr>
          <w:p w14:paraId="7CA00D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品牌</w:t>
            </w:r>
          </w:p>
        </w:tc>
        <w:tc>
          <w:tcPr>
            <w:tcW w:w="692" w:type="dxa"/>
            <w:vAlign w:val="center"/>
          </w:tcPr>
          <w:p w14:paraId="0E2639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产地</w:t>
            </w:r>
          </w:p>
        </w:tc>
        <w:tc>
          <w:tcPr>
            <w:tcW w:w="692" w:type="dxa"/>
            <w:vAlign w:val="center"/>
          </w:tcPr>
          <w:p w14:paraId="61B504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生产厂家</w:t>
            </w:r>
          </w:p>
        </w:tc>
        <w:tc>
          <w:tcPr>
            <w:tcW w:w="692" w:type="dxa"/>
            <w:vAlign w:val="center"/>
          </w:tcPr>
          <w:p w14:paraId="584E6E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数量</w:t>
            </w:r>
          </w:p>
        </w:tc>
        <w:tc>
          <w:tcPr>
            <w:tcW w:w="715" w:type="dxa"/>
            <w:vAlign w:val="center"/>
          </w:tcPr>
          <w:p w14:paraId="530EA3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计量单位</w:t>
            </w:r>
          </w:p>
        </w:tc>
        <w:tc>
          <w:tcPr>
            <w:tcW w:w="1016" w:type="dxa"/>
            <w:vAlign w:val="center"/>
          </w:tcPr>
          <w:p w14:paraId="3289B5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含税单价(元)</w:t>
            </w:r>
          </w:p>
        </w:tc>
        <w:tc>
          <w:tcPr>
            <w:tcW w:w="1041" w:type="dxa"/>
            <w:vAlign w:val="center"/>
          </w:tcPr>
          <w:p w14:paraId="114757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 xml:space="preserve">金额    </w:t>
            </w:r>
            <w:r>
              <w:rPr>
                <w:rFonts w:hint="eastAsia" w:asciiTheme="minorEastAsia" w:hAnsiTheme="minorEastAsia" w:eastAsiaTheme="minorEastAsia" w:cstheme="minorEastAsia"/>
                <w:color w:val="000000" w:themeColor="text1"/>
                <w:sz w:val="18"/>
                <w:szCs w:val="18"/>
                <w14:textFill>
                  <w14:solidFill>
                    <w14:schemeClr w14:val="tx1"/>
                  </w14:solidFill>
                </w14:textFill>
              </w:rPr>
              <w:t>(元)</w:t>
            </w:r>
          </w:p>
        </w:tc>
        <w:tc>
          <w:tcPr>
            <w:tcW w:w="1032" w:type="dxa"/>
            <w:vAlign w:val="center"/>
          </w:tcPr>
          <w:p w14:paraId="414B35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备注</w:t>
            </w:r>
          </w:p>
        </w:tc>
      </w:tr>
      <w:tr w14:paraId="5936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55" w:type="dxa"/>
            <w:vAlign w:val="center"/>
          </w:tcPr>
          <w:p w14:paraId="03E44C5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w:t>
            </w:r>
          </w:p>
        </w:tc>
        <w:tc>
          <w:tcPr>
            <w:tcW w:w="883" w:type="dxa"/>
            <w:vAlign w:val="center"/>
          </w:tcPr>
          <w:p w14:paraId="7CC778E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118489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49C6274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696460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556697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3543EEF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715" w:type="dxa"/>
            <w:vAlign w:val="center"/>
          </w:tcPr>
          <w:p w14:paraId="2203C3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16" w:type="dxa"/>
            <w:vAlign w:val="center"/>
          </w:tcPr>
          <w:p w14:paraId="25FA27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41" w:type="dxa"/>
            <w:vAlign w:val="center"/>
          </w:tcPr>
          <w:p w14:paraId="00DD8B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32" w:type="dxa"/>
            <w:vAlign w:val="center"/>
          </w:tcPr>
          <w:p w14:paraId="3FE6682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r>
      <w:tr w14:paraId="5CEB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55" w:type="dxa"/>
            <w:vAlign w:val="center"/>
          </w:tcPr>
          <w:p w14:paraId="075DAA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w:t>
            </w:r>
          </w:p>
        </w:tc>
        <w:tc>
          <w:tcPr>
            <w:tcW w:w="883" w:type="dxa"/>
            <w:vAlign w:val="center"/>
          </w:tcPr>
          <w:p w14:paraId="6E63E9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12F2282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69785A4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0E14095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5E369B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737A7B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715" w:type="dxa"/>
            <w:vAlign w:val="center"/>
          </w:tcPr>
          <w:p w14:paraId="1BB89B4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16" w:type="dxa"/>
            <w:vAlign w:val="center"/>
          </w:tcPr>
          <w:p w14:paraId="097522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41" w:type="dxa"/>
            <w:vAlign w:val="center"/>
          </w:tcPr>
          <w:p w14:paraId="727ACEC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32" w:type="dxa"/>
            <w:vAlign w:val="center"/>
          </w:tcPr>
          <w:p w14:paraId="0A62211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r>
      <w:tr w14:paraId="2314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55" w:type="dxa"/>
            <w:vAlign w:val="center"/>
          </w:tcPr>
          <w:p w14:paraId="499D569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合计</w:t>
            </w:r>
          </w:p>
        </w:tc>
        <w:tc>
          <w:tcPr>
            <w:tcW w:w="883" w:type="dxa"/>
            <w:vAlign w:val="center"/>
          </w:tcPr>
          <w:p w14:paraId="4C9651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0025E1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6D8297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32EF10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4C14863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395084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715" w:type="dxa"/>
            <w:vAlign w:val="center"/>
          </w:tcPr>
          <w:p w14:paraId="025312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16" w:type="dxa"/>
            <w:vAlign w:val="center"/>
          </w:tcPr>
          <w:p w14:paraId="49AD1FF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41" w:type="dxa"/>
            <w:vAlign w:val="center"/>
          </w:tcPr>
          <w:p w14:paraId="08A6F4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32" w:type="dxa"/>
            <w:vAlign w:val="center"/>
          </w:tcPr>
          <w:p w14:paraId="3AAC759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r>
      <w:tr w14:paraId="7589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902" w:type="dxa"/>
            <w:gridSpan w:val="11"/>
          </w:tcPr>
          <w:p w14:paraId="3D307282">
            <w:pPr>
              <w:keepNext w:val="0"/>
              <w:keepLines w:val="0"/>
              <w:pageBreakBefore w:val="0"/>
              <w:widowControl w:val="0"/>
              <w:numPr>
                <w:ilvl w:val="0"/>
                <w:numId w:val="5"/>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乙方应提供</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的增值税</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普通</w:t>
            </w:r>
            <w:r>
              <w:rPr>
                <w:rFonts w:hint="eastAsia" w:asciiTheme="minorEastAsia" w:hAnsiTheme="minorEastAsia" w:eastAsiaTheme="minorEastAsia" w:cstheme="minorEastAsia"/>
                <w:color w:val="000000" w:themeColor="text1"/>
                <w:sz w:val="21"/>
                <w:szCs w:val="21"/>
                <w14:textFill>
                  <w14:solidFill>
                    <w14:schemeClr w14:val="tx1"/>
                  </w14:solidFill>
                </w14:textFill>
              </w:rPr>
              <w:t>发票，国家政策调整税率的，以上含税价格不变。</w:t>
            </w:r>
          </w:p>
          <w:p w14:paraId="19F2C49A">
            <w:pPr>
              <w:keepNext w:val="0"/>
              <w:keepLines w:val="0"/>
              <w:pageBreakBefore w:val="0"/>
              <w:widowControl w:val="0"/>
              <w:numPr>
                <w:ilvl w:val="0"/>
                <w:numId w:val="5"/>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上表中标的物的数量、金额为暂定</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含税单价为固定单价</w:t>
            </w:r>
            <w:r>
              <w:rPr>
                <w:rFonts w:hint="eastAsia" w:asciiTheme="minorEastAsia" w:hAnsiTheme="minorEastAsia" w:eastAsiaTheme="minorEastAsia" w:cstheme="minorEastAsia"/>
                <w:color w:val="auto"/>
                <w:sz w:val="21"/>
                <w:szCs w:val="21"/>
              </w:rPr>
              <w:t>。如在暂定数量范围内，乙方应保证供应；甲方有权根据实际需要确定具体数量。甲方实际需求数量少于暂定数量的，不属于甲方违约。</w:t>
            </w:r>
          </w:p>
          <w:p w14:paraId="1E12A9CD">
            <w:pPr>
              <w:keepNext w:val="0"/>
              <w:keepLines w:val="0"/>
              <w:pageBreakBefore w:val="0"/>
              <w:widowControl w:val="0"/>
              <w:numPr>
                <w:ilvl w:val="0"/>
                <w:numId w:val="5"/>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本合同暂定总金额为</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元，</w:t>
            </w:r>
            <w:r>
              <w:rPr>
                <w:rFonts w:hint="eastAsia" w:asciiTheme="minorEastAsia" w:hAnsiTheme="minorEastAsia" w:eastAsiaTheme="minorEastAsia" w:cstheme="minorEastAsia"/>
                <w:color w:val="auto"/>
                <w:sz w:val="21"/>
                <w:szCs w:val="21"/>
              </w:rPr>
              <w:t>标的物价款总金额以实际发生数量、</w:t>
            </w:r>
            <w:r>
              <w:rPr>
                <w:rFonts w:hint="eastAsia" w:asciiTheme="minorEastAsia" w:hAnsiTheme="minorEastAsia" w:eastAsiaTheme="minorEastAsia" w:cstheme="minorEastAsia"/>
                <w:color w:val="auto"/>
                <w:sz w:val="21"/>
                <w:szCs w:val="21"/>
                <w:lang w:val="en-US" w:eastAsia="zh-CN"/>
              </w:rPr>
              <w:t>结算金额</w:t>
            </w:r>
            <w:r>
              <w:rPr>
                <w:rFonts w:hint="eastAsia" w:asciiTheme="minorEastAsia" w:hAnsiTheme="minorEastAsia" w:eastAsiaTheme="minorEastAsia" w:cstheme="minorEastAsia"/>
                <w:color w:val="auto"/>
                <w:sz w:val="21"/>
                <w:szCs w:val="21"/>
              </w:rPr>
              <w:t>由双方最终结算为准。乙方供货完成后，甲乙双方应根据合同约定办理结算单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相关</w:t>
            </w:r>
            <w:r>
              <w:rPr>
                <w:rFonts w:hint="eastAsia" w:asciiTheme="minorEastAsia" w:hAnsiTheme="minorEastAsia" w:eastAsiaTheme="minorEastAsia" w:cstheme="minorEastAsia"/>
                <w:color w:val="auto"/>
                <w:sz w:val="21"/>
                <w:szCs w:val="21"/>
              </w:rPr>
              <w:t>结算单需甲乙双方签字并加盖公章，未办理结算单或结算单未盖章，甲方有权拒绝不支付任何款项，由此造成的损失由乙方自行承担。乙方不得以暂定数量、价格为由，向甲方提出任何结算或支付货款要求。</w:t>
            </w:r>
          </w:p>
          <w:p w14:paraId="248B88B4">
            <w:pPr>
              <w:keepNext w:val="0"/>
              <w:keepLines w:val="0"/>
              <w:pageBreakBefore w:val="0"/>
              <w:widowControl w:val="0"/>
              <w:numPr>
                <w:ilvl w:val="0"/>
                <w:numId w:val="5"/>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本合同单价均包括标的物和标的物附属物的价款，还包含了所需的税金、运输费、装卸费、包装保护费、</w:t>
            </w: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仓储保管费、保险费、维护费、瑕疵修复费用</w:t>
            </w:r>
            <w:r>
              <w:rPr>
                <w:rFonts w:hint="eastAsia" w:asciiTheme="minorEastAsia" w:hAnsiTheme="minorEastAsia" w:eastAsiaTheme="minorEastAsia" w:cstheme="minorEastAsia"/>
                <w:color w:val="000000" w:themeColor="text1"/>
                <w:sz w:val="21"/>
                <w:szCs w:val="21"/>
                <w14:textFill>
                  <w14:solidFill>
                    <w14:schemeClr w14:val="tx1"/>
                  </w14:solidFill>
                </w14:textFill>
              </w:rPr>
              <w:t>等相关费用，除非合同另有约定，甲方无需再支付其他价款或费用。</w:t>
            </w:r>
          </w:p>
        </w:tc>
      </w:tr>
    </w:tbl>
    <w:p w14:paraId="3E01CC3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二、质量要求和技术标准</w:t>
      </w:r>
    </w:p>
    <w:p w14:paraId="264C1D1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2B0C119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三、交货方式、地点、时间、运输、安装</w:t>
      </w:r>
    </w:p>
    <w:p w14:paraId="52297B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1.甲方应提前</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日将需求计划及到货地点、到货时间提供给乙方，甲方每次通过指定联系人用电话通知的方式提前联系乙方，以便乙方及时安排供货。</w:t>
      </w:r>
    </w:p>
    <w:p w14:paraId="2D72544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甲方指定施工现场（地点为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4A5FD3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交货方式：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经双方指定联系人现场确认签收为准。</w:t>
      </w:r>
    </w:p>
    <w:p w14:paraId="68144BA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2.运输方式：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，运输费用由</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承担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甲方承担运输时，则此费用已包含在合同单价内）。</w:t>
      </w:r>
    </w:p>
    <w:p w14:paraId="08022A6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因货物在运输途中、装卸过程中发生毁损、灭失等任何风险由乙方承担；在运输途中、交货前、卸货中造成乙方或第三方人身或财产损失的，由乙方自行承担。</w:t>
      </w:r>
    </w:p>
    <w:p w14:paraId="7807DF2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3.安装方式：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安装时间：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安装费用由</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承担。若乙方未在约定安装时间内安装完毕，由此造成甲方损失的由乙方承担赔偿责任。</w:t>
      </w:r>
    </w:p>
    <w:p w14:paraId="6A6081A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4.其他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p>
    <w:p w14:paraId="724B7A9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四、验收</w:t>
      </w:r>
    </w:p>
    <w:p w14:paraId="74FAEA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乙方应保证标的物到达甲方指定收货地点所在地完好无损，如有缺漏、损坏，由乙方负责及时在甲方规定时间内调换、补齐或赔偿，由此产生的一切相关费用由乙方承担，验收期限相应顺延。由此导致乙方延迟交货的，乙方应承担违约责任。</w:t>
      </w:r>
    </w:p>
    <w:p w14:paraId="4737172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验收标准为本合同第二条约定标准，外观和数量的验收方法为现场验收，由甲方指定：</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（电话：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签收人验收并在供货单上签字确认。</w:t>
      </w:r>
    </w:p>
    <w:p w14:paraId="1F0F738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本合同质量异议期为两年。甲方对质量有异议的，可提交重庆质量技术监督局辖属的相关检测机构进行检测，由乙方垫付检测费用，乙方拒绝垫付的视为质量不合格。标的物经检测合格的，检测费用由甲方承担；否则检测费用由乙方承担。</w:t>
      </w:r>
    </w:p>
    <w:p w14:paraId="2500628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五、计量计价</w:t>
      </w:r>
    </w:p>
    <w:p w14:paraId="64A2536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1.计量计价方式</w:t>
      </w:r>
    </w:p>
    <w:p w14:paraId="3CEC430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甲乙双方以第</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种方式进行计量：</w:t>
      </w:r>
    </w:p>
    <w:p w14:paraId="6F169C3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（1）按月计量，上月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日至本月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日为一个计量周期，甲、乙双方在每个计量周期结束后5日内将该计量周期供应的标的物数量及金额进行对账。</w:t>
      </w:r>
    </w:p>
    <w:p w14:paraId="74D821E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（2）一次性计量，乙方按合同约定数量</w:t>
      </w:r>
      <w:r>
        <w:rPr>
          <w:rFonts w:hint="eastAsia" w:asciiTheme="minorEastAsia" w:hAnsiTheme="minorEastAsia" w:eastAsiaTheme="minorEastAsia" w:cstheme="minorEastAsia"/>
          <w:strike w:val="0"/>
          <w:dstrike w:val="0"/>
          <w:color w:val="000000" w:themeColor="text1"/>
          <w:sz w:val="24"/>
          <w:szCs w:val="24"/>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14:textFill>
            <w14:solidFill>
              <w14:schemeClr w14:val="tx1"/>
            </w14:solidFill>
          </w14:textFill>
        </w:rPr>
        <w:t>按甲方提供的需求计划供应标的物</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送货、双方指定签收人现场验收及签字</w:t>
      </w:r>
      <w:r>
        <w:rPr>
          <w:rFonts w:hint="eastAsia" w:asciiTheme="minorEastAsia" w:hAnsiTheme="minorEastAsia" w:eastAsiaTheme="minorEastAsia" w:cstheme="minorEastAsia"/>
          <w:color w:val="000000" w:themeColor="text1"/>
          <w:sz w:val="24"/>
          <w:szCs w:val="24"/>
          <w14:textFill>
            <w14:solidFill>
              <w14:schemeClr w14:val="tx1"/>
            </w14:solidFill>
          </w14:textFill>
        </w:rPr>
        <w:t>完成后，甲乙双方将供应的标的物数量及金额进行对账。</w:t>
      </w:r>
    </w:p>
    <w:p w14:paraId="6620578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（3）按形象进度计量，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，甲乙双方将该计量周期供应的标的物数量及金额进行对账。</w:t>
      </w:r>
    </w:p>
    <w:p w14:paraId="6CF629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2.计量计价依据</w:t>
      </w:r>
    </w:p>
    <w:p w14:paraId="726E9B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除合同约定的相关条款外，以甲方指定</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人员</w:t>
      </w:r>
      <w:r>
        <w:rPr>
          <w:rFonts w:hint="eastAsia" w:asciiTheme="minorEastAsia" w:hAnsiTheme="minorEastAsia" w:eastAsiaTheme="minorEastAsia" w:cstheme="minorEastAsia"/>
          <w:color w:val="000000" w:themeColor="text1"/>
          <w:sz w:val="24"/>
          <w:szCs w:val="24"/>
          <w14:textFill>
            <w14:solidFill>
              <w14:schemeClr w14:val="tx1"/>
            </w14:solidFill>
          </w14:textFill>
        </w:rPr>
        <w:t>签字确认且加盖甲方公章的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结算单</w:t>
      </w:r>
      <w:r>
        <w:rPr>
          <w:rFonts w:hint="eastAsia" w:asciiTheme="minorEastAsia" w:hAnsiTheme="minorEastAsia" w:eastAsiaTheme="minorEastAsia" w:cstheme="minorEastAsia"/>
          <w:color w:val="000000" w:themeColor="text1"/>
          <w:sz w:val="24"/>
          <w:szCs w:val="24"/>
          <w14:textFill>
            <w14:solidFill>
              <w14:schemeClr w14:val="tx1"/>
            </w14:solidFill>
          </w14:textFill>
        </w:rPr>
        <w:t>为有效计量计价依据，未经甲方加盖公章的单据甲方不予认可，甲方有权不支付任何款项且不承担违约责任，由此造成的任何损失由乙方自行承担。乙方不得以暂定数量、价格为由，向甲方提出任何结算或支付货款要求。</w:t>
      </w:r>
    </w:p>
    <w:p w14:paraId="3DAF18A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甲方指定</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人员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（电话：              ）</w:t>
      </w:r>
    </w:p>
    <w:p w14:paraId="05F9FC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乙方指定联系人：              （电话：               ）</w:t>
      </w:r>
    </w:p>
    <w:p w14:paraId="7D9C7A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六、付款</w:t>
      </w:r>
    </w:p>
    <w:p w14:paraId="1B37ED4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1.付款方式</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甲乙双方以第</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种方式进行付款</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558B72E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（1）按月付款，每月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日为付款时间。</w:t>
      </w:r>
    </w:p>
    <w:p w14:paraId="66A021C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（2）一次性付款，</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待货到现场经甲方验收合格且双方对账完成后支付货款</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3F9C156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（3）按节点付款</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3DB9063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4）建设单位向甲方支付工程款后，甲方按合同约定向乙方支付材料款，付款金额以乙方当期已供货物占建设单位支付的当期工程款对应工程量的比例乘以建设单位支付的当期工程款为限（如乙方当期所供货物占建设单位当期付款100万对应工程量的3%，则当期支付乙方款项不得超过3万）。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04D7BDA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2.付款依据</w:t>
      </w:r>
    </w:p>
    <w:p w14:paraId="551DD4F0">
      <w:pPr>
        <w:keepNext w:val="0"/>
        <w:keepLines w:val="0"/>
        <w:pageBreakBefore w:val="0"/>
        <w:widowControl w:val="0"/>
        <w:kinsoku/>
        <w:wordWrap/>
        <w:overflowPunct/>
        <w:topLinePunct w:val="0"/>
        <w:autoSpaceDE/>
        <w:autoSpaceDN/>
        <w:bidi w:val="0"/>
        <w:adjustRightInd/>
        <w:snapToGrid/>
        <w:spacing w:line="480" w:lineRule="exact"/>
        <w:ind w:left="420" w:left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以合同约定的经双方确认的计量计价依据及发票为付款依据。</w:t>
      </w:r>
    </w:p>
    <w:p w14:paraId="2A98980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七、违约责任</w:t>
      </w:r>
    </w:p>
    <w:p w14:paraId="5CCA2B3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1、乙方应按甲方提供的需求计划，保证及时在与甲方约定时间内按照计划分批提供标的物至甲方指定收货地点。如未按照约定提供标的物，则乙方按每日未能如期供货部分金额的</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万分之一</w:t>
      </w:r>
      <w:r>
        <w:rPr>
          <w:rFonts w:hint="eastAsia" w:asciiTheme="minorEastAsia" w:hAnsiTheme="minorEastAsia" w:eastAsiaTheme="minorEastAsia" w:cstheme="minorEastAsia"/>
          <w:color w:val="000000" w:themeColor="text1"/>
          <w:sz w:val="24"/>
          <w:szCs w:val="24"/>
          <w14:textFill>
            <w14:solidFill>
              <w14:schemeClr w14:val="tx1"/>
            </w14:solidFill>
          </w14:textFill>
        </w:rPr>
        <w:t>支付违约金，同时甲方还有权拒收标的物或要求乙方重新供应符合要求的标的物；如乙方不合格或不符合要求的标的物已经卸货至甲方指定地点或者甲方其他地点，乙方应自行保管并自24小时内自费将标的物清理出甲方指定地点或甲方其他地点。当乙方不按时清理时，甲方有权处理并由乙方承担因此而支出的清理等费用。乙方不得向甲方要求支付该批次的标的物价款。</w:t>
      </w:r>
    </w:p>
    <w:p w14:paraId="3B1827C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2、在乙方超期十天还未按约定提供标的物的情况下，甲方有权解除合同，如甲方需乙方继续提供，则乙方有义务继续供货。同时不免除乙方的违约责任，如给甲方造成损失的，乙方应承担损失赔偿责任。</w:t>
      </w:r>
    </w:p>
    <w:p w14:paraId="7162573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3、如乙方虚增数量的，则按乙方虚增数量占当次提供产品数量的比例，对乙方已供数量进行调减，且乙方需向甲方支付虚增产品数量的价款三倍的违约金。</w:t>
      </w:r>
    </w:p>
    <w:p w14:paraId="1670B3B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八、合同争议的解决</w:t>
      </w:r>
    </w:p>
    <w:p w14:paraId="04B54C3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因本合同发生的任何争议，由双方友好协商达成一致解决，协商不成，向甲方所在地有管辖权人民法院提起诉讼。</w:t>
      </w:r>
    </w:p>
    <w:p w14:paraId="414BF6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九、合同生效及其它</w:t>
      </w:r>
    </w:p>
    <w:p w14:paraId="3929A95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本合同经双方法定代表人或授权代表签字并加盖合同专用章或公章后生效。</w:t>
      </w:r>
    </w:p>
    <w:p w14:paraId="7C391F1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本合同一式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份，甲方执</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份、乙方执</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份，具有同等法律效力。</w:t>
      </w:r>
    </w:p>
    <w:p w14:paraId="3DEE0AFA">
      <w:pPr>
        <w:keepNext w:val="0"/>
        <w:keepLines w:val="0"/>
        <w:pageBreakBefore w:val="0"/>
        <w:widowControl w:val="0"/>
        <w:numPr>
          <w:ilvl w:val="0"/>
          <w:numId w:val="6"/>
        </w:numPr>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其他约定：</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w:t>
      </w:r>
    </w:p>
    <w:p w14:paraId="55ACA3A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pPr>
    </w:p>
    <w:p w14:paraId="06C17FF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pPr>
    </w:p>
    <w:p w14:paraId="1EAD0F40">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                              乙方：</w:t>
      </w:r>
    </w:p>
    <w:p w14:paraId="49A2C52F">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联系地址：                          联系地址：</w:t>
      </w:r>
    </w:p>
    <w:p w14:paraId="52957893">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联系电话：                          联系电话：</w:t>
      </w:r>
    </w:p>
    <w:p w14:paraId="0D46F4A0">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经办人</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法定代表人（或授权代表）：</w:t>
      </w:r>
    </w:p>
    <w:p w14:paraId="073510D3">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heme="minorEastAsia" w:hAnsiTheme="minorEastAsia" w:eastAsiaTheme="minorEastAsia" w:cstheme="minorEastAsia"/>
          <w:b/>
          <w:bCs/>
          <w:kern w:val="2"/>
          <w:sz w:val="28"/>
          <w:szCs w:val="28"/>
          <w:highlight w:val="none"/>
          <w:lang w:val="en-US" w:eastAsia="zh-CN" w:bidi="ar-SA"/>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签约时间：   年   月   日           签约时间：  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5589">
    <w:pPr>
      <w:pStyle w:val="6"/>
      <w:ind w:firstLine="360"/>
      <w:jc w:val="center"/>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D373">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C39AC"/>
    <w:multiLevelType w:val="singleLevel"/>
    <w:tmpl w:val="9C4C39AC"/>
    <w:lvl w:ilvl="0" w:tentative="0">
      <w:start w:val="1"/>
      <w:numFmt w:val="decimal"/>
      <w:suff w:val="nothing"/>
      <w:lvlText w:val="%1、"/>
      <w:lvlJc w:val="left"/>
    </w:lvl>
  </w:abstractNum>
  <w:abstractNum w:abstractNumId="1">
    <w:nsid w:val="BBC43DCA"/>
    <w:multiLevelType w:val="singleLevel"/>
    <w:tmpl w:val="BBC43DCA"/>
    <w:lvl w:ilvl="0" w:tentative="0">
      <w:start w:val="1"/>
      <w:numFmt w:val="decimal"/>
      <w:suff w:val="nothing"/>
      <w:lvlText w:val="%1、"/>
      <w:lvlJc w:val="left"/>
    </w:lvl>
  </w:abstractNum>
  <w:abstractNum w:abstractNumId="2">
    <w:nsid w:val="E6A19431"/>
    <w:multiLevelType w:val="singleLevel"/>
    <w:tmpl w:val="E6A19431"/>
    <w:lvl w:ilvl="0" w:tentative="0">
      <w:start w:val="10"/>
      <w:numFmt w:val="chineseCounting"/>
      <w:suff w:val="nothing"/>
      <w:lvlText w:val="%1、"/>
      <w:lvlJc w:val="left"/>
      <w:rPr>
        <w:rFonts w:hint="eastAsia"/>
      </w:rPr>
    </w:lvl>
  </w:abstractNum>
  <w:abstractNum w:abstractNumId="3">
    <w:nsid w:val="27B15CA6"/>
    <w:multiLevelType w:val="singleLevel"/>
    <w:tmpl w:val="27B15CA6"/>
    <w:lvl w:ilvl="0" w:tentative="0">
      <w:start w:val="2"/>
      <w:numFmt w:val="chineseCounting"/>
      <w:suff w:val="nothing"/>
      <w:lvlText w:val="（%1）"/>
      <w:lvlJc w:val="left"/>
      <w:rPr>
        <w:rFonts w:hint="eastAsia"/>
      </w:rPr>
    </w:lvl>
  </w:abstractNum>
  <w:abstractNum w:abstractNumId="4">
    <w:nsid w:val="2E93A8E3"/>
    <w:multiLevelType w:val="singleLevel"/>
    <w:tmpl w:val="2E93A8E3"/>
    <w:lvl w:ilvl="0" w:tentative="0">
      <w:start w:val="1"/>
      <w:numFmt w:val="chineseCounting"/>
      <w:suff w:val="nothing"/>
      <w:lvlText w:val="%1、"/>
      <w:lvlJc w:val="left"/>
      <w:pPr>
        <w:ind w:left="0" w:firstLine="420"/>
      </w:pPr>
      <w:rPr>
        <w:rFonts w:hint="eastAsia"/>
      </w:rPr>
    </w:lvl>
  </w:abstractNum>
  <w:abstractNum w:abstractNumId="5">
    <w:nsid w:val="7D7A8638"/>
    <w:multiLevelType w:val="singleLevel"/>
    <w:tmpl w:val="7D7A8638"/>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MDk4ZjczZjM4NmUwNmUwODAxYWRmYTE1ODJiZjIifQ=="/>
  </w:docVars>
  <w:rsids>
    <w:rsidRoot w:val="60A631F9"/>
    <w:rsid w:val="016D6AC7"/>
    <w:rsid w:val="027A5940"/>
    <w:rsid w:val="035C5897"/>
    <w:rsid w:val="03F92894"/>
    <w:rsid w:val="047E2CCD"/>
    <w:rsid w:val="05B1163A"/>
    <w:rsid w:val="060B31D6"/>
    <w:rsid w:val="062F07EF"/>
    <w:rsid w:val="0639166E"/>
    <w:rsid w:val="076D1047"/>
    <w:rsid w:val="08103F1A"/>
    <w:rsid w:val="08B93D98"/>
    <w:rsid w:val="0A233052"/>
    <w:rsid w:val="0A9000BA"/>
    <w:rsid w:val="0C375E99"/>
    <w:rsid w:val="0D2766C4"/>
    <w:rsid w:val="0D531ECD"/>
    <w:rsid w:val="0D915698"/>
    <w:rsid w:val="0DB8556E"/>
    <w:rsid w:val="0E045982"/>
    <w:rsid w:val="0E59300F"/>
    <w:rsid w:val="0E9923D1"/>
    <w:rsid w:val="0F951E4E"/>
    <w:rsid w:val="0FF06722"/>
    <w:rsid w:val="10BF29B1"/>
    <w:rsid w:val="10CC47B5"/>
    <w:rsid w:val="11020FDA"/>
    <w:rsid w:val="1157177B"/>
    <w:rsid w:val="1375441C"/>
    <w:rsid w:val="14397409"/>
    <w:rsid w:val="14F15006"/>
    <w:rsid w:val="17C8575E"/>
    <w:rsid w:val="18711DF1"/>
    <w:rsid w:val="195A572B"/>
    <w:rsid w:val="19782558"/>
    <w:rsid w:val="1A670100"/>
    <w:rsid w:val="1AD03EF7"/>
    <w:rsid w:val="1B7B7C62"/>
    <w:rsid w:val="1C6D37B2"/>
    <w:rsid w:val="1CB11B06"/>
    <w:rsid w:val="1D0862C4"/>
    <w:rsid w:val="1D4F3C94"/>
    <w:rsid w:val="1E1660C5"/>
    <w:rsid w:val="1EAD059A"/>
    <w:rsid w:val="1F702277"/>
    <w:rsid w:val="21DF2C72"/>
    <w:rsid w:val="222D60D3"/>
    <w:rsid w:val="22C16148"/>
    <w:rsid w:val="2329338C"/>
    <w:rsid w:val="248D136A"/>
    <w:rsid w:val="258E6E89"/>
    <w:rsid w:val="27ED433A"/>
    <w:rsid w:val="299802D6"/>
    <w:rsid w:val="2A7A74A6"/>
    <w:rsid w:val="2ACC441F"/>
    <w:rsid w:val="2B255B99"/>
    <w:rsid w:val="2C5F50DB"/>
    <w:rsid w:val="2E3A5D54"/>
    <w:rsid w:val="2E717677"/>
    <w:rsid w:val="2F30194A"/>
    <w:rsid w:val="30B646E0"/>
    <w:rsid w:val="30EE052C"/>
    <w:rsid w:val="315E1705"/>
    <w:rsid w:val="31C14142"/>
    <w:rsid w:val="32FE1331"/>
    <w:rsid w:val="33086BB0"/>
    <w:rsid w:val="33124615"/>
    <w:rsid w:val="37491AF0"/>
    <w:rsid w:val="391D25A6"/>
    <w:rsid w:val="3AD82C28"/>
    <w:rsid w:val="3BB019F4"/>
    <w:rsid w:val="3C641028"/>
    <w:rsid w:val="3D2E4140"/>
    <w:rsid w:val="3DD671C7"/>
    <w:rsid w:val="3E9C440D"/>
    <w:rsid w:val="3EC547BE"/>
    <w:rsid w:val="3EE80987"/>
    <w:rsid w:val="3F14150C"/>
    <w:rsid w:val="3F6D76B7"/>
    <w:rsid w:val="3F79605C"/>
    <w:rsid w:val="405E5A23"/>
    <w:rsid w:val="423C53F3"/>
    <w:rsid w:val="44071E88"/>
    <w:rsid w:val="45F134A2"/>
    <w:rsid w:val="46407D66"/>
    <w:rsid w:val="478B6922"/>
    <w:rsid w:val="48FA645F"/>
    <w:rsid w:val="4A5D4498"/>
    <w:rsid w:val="4AC324AC"/>
    <w:rsid w:val="4B8714A6"/>
    <w:rsid w:val="4B8E2E8F"/>
    <w:rsid w:val="4C6A56AA"/>
    <w:rsid w:val="4CE658C2"/>
    <w:rsid w:val="4D4F7985"/>
    <w:rsid w:val="4D744DC4"/>
    <w:rsid w:val="5117514C"/>
    <w:rsid w:val="51866B4A"/>
    <w:rsid w:val="52157ED4"/>
    <w:rsid w:val="5284044B"/>
    <w:rsid w:val="5325232B"/>
    <w:rsid w:val="53741AD4"/>
    <w:rsid w:val="55296276"/>
    <w:rsid w:val="555941EB"/>
    <w:rsid w:val="556C2493"/>
    <w:rsid w:val="559F3BFE"/>
    <w:rsid w:val="573C5E95"/>
    <w:rsid w:val="579A36A5"/>
    <w:rsid w:val="581A4287"/>
    <w:rsid w:val="58ED7447"/>
    <w:rsid w:val="59254E33"/>
    <w:rsid w:val="59A60467"/>
    <w:rsid w:val="5AFD593B"/>
    <w:rsid w:val="5B134FDA"/>
    <w:rsid w:val="5B50025D"/>
    <w:rsid w:val="5C436BE5"/>
    <w:rsid w:val="5D8518FA"/>
    <w:rsid w:val="5DA558E5"/>
    <w:rsid w:val="5F205A3C"/>
    <w:rsid w:val="6047145F"/>
    <w:rsid w:val="6091220E"/>
    <w:rsid w:val="60A631F9"/>
    <w:rsid w:val="611070E8"/>
    <w:rsid w:val="611F660B"/>
    <w:rsid w:val="62BE6BF4"/>
    <w:rsid w:val="64333D5F"/>
    <w:rsid w:val="64490EDB"/>
    <w:rsid w:val="653341BB"/>
    <w:rsid w:val="654011F8"/>
    <w:rsid w:val="65B311E1"/>
    <w:rsid w:val="665C3E5E"/>
    <w:rsid w:val="66632DB5"/>
    <w:rsid w:val="67F171E5"/>
    <w:rsid w:val="683A194D"/>
    <w:rsid w:val="697D7D7A"/>
    <w:rsid w:val="6D1C788E"/>
    <w:rsid w:val="6DB4632D"/>
    <w:rsid w:val="6FCC0900"/>
    <w:rsid w:val="707F0E75"/>
    <w:rsid w:val="708C5A36"/>
    <w:rsid w:val="708D7834"/>
    <w:rsid w:val="70E138DD"/>
    <w:rsid w:val="73FA24C4"/>
    <w:rsid w:val="74933FD6"/>
    <w:rsid w:val="77585F7B"/>
    <w:rsid w:val="78E0447A"/>
    <w:rsid w:val="79A463A3"/>
    <w:rsid w:val="7ABB0CFB"/>
    <w:rsid w:val="7B6A6305"/>
    <w:rsid w:val="7CE968EA"/>
    <w:rsid w:val="7D331914"/>
    <w:rsid w:val="7E4F77C2"/>
    <w:rsid w:val="7E952C57"/>
    <w:rsid w:val="7EA00324"/>
    <w:rsid w:val="7EE822DB"/>
    <w:rsid w:val="7F1C5373"/>
    <w:rsid w:val="7F3219DF"/>
    <w:rsid w:val="7FF87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spacing w:before="260" w:after="260" w:line="413" w:lineRule="auto"/>
      <w:outlineLvl w:val="1"/>
    </w:pPr>
    <w:rPr>
      <w:rFonts w:ascii="Arial" w:hAnsi="Arial" w:eastAsia="黑体"/>
      <w:sz w:val="32"/>
    </w:rPr>
  </w:style>
  <w:style w:type="paragraph" w:styleId="4">
    <w:name w:val="heading 3"/>
    <w:basedOn w:val="1"/>
    <w:next w:val="1"/>
    <w:qFormat/>
    <w:uiPriority w:val="9"/>
    <w:pPr>
      <w:keepNext/>
      <w:outlineLvl w:val="2"/>
    </w:pPr>
    <w:rPr>
      <w:rFonts w:ascii="Cambria" w:hAnsi="Cambria"/>
      <w:bCs/>
      <w:szCs w:val="26"/>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_GB2312" w:eastAsia="仿宋_GB2312"/>
      <w:sz w:val="32"/>
    </w:rPr>
  </w:style>
  <w:style w:type="paragraph" w:styleId="6">
    <w:name w:val="footer"/>
    <w:basedOn w:val="1"/>
    <w:next w:val="1"/>
    <w:qFormat/>
    <w:uiPriority w:val="99"/>
    <w:pPr>
      <w:tabs>
        <w:tab w:val="center" w:pos="4153"/>
        <w:tab w:val="right" w:pos="8306"/>
      </w:tabs>
      <w:snapToGrid w:val="0"/>
      <w:spacing w:line="240" w:lineRule="auto"/>
      <w:jc w:val="left"/>
    </w:pPr>
    <w:rPr>
      <w:sz w:val="18"/>
      <w:szCs w:val="18"/>
    </w:rPr>
  </w:style>
  <w:style w:type="paragraph" w:styleId="7">
    <w:name w:val="header"/>
    <w:basedOn w:val="1"/>
    <w:semiHidden/>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unhideWhenUsed/>
    <w:qFormat/>
    <w:uiPriority w:val="39"/>
    <w:pPr>
      <w:widowControl/>
      <w:spacing w:after="100" w:line="276" w:lineRule="auto"/>
      <w:ind w:firstLine="0" w:firstLineChars="0"/>
      <w:jc w:val="left"/>
    </w:pPr>
    <w:rPr>
      <w:rFonts w:ascii="Calibri" w:hAnsi="Calibri" w:eastAsia="宋体" w:cs="Times New Roman"/>
      <w:kern w:val="0"/>
      <w:sz w:val="22"/>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Autospacing="1" w:after="100" w:afterAutospacing="1" w:line="560" w:lineRule="exact"/>
      <w:ind w:firstLine="0" w:firstLineChars="0"/>
      <w:jc w:val="left"/>
    </w:pPr>
    <w:rPr>
      <w:rFonts w:ascii="宋体" w:hAnsi="宋体" w:cs="宋体"/>
      <w:kern w:val="0"/>
      <w:sz w:val="24"/>
    </w:rPr>
  </w:style>
  <w:style w:type="paragraph" w:styleId="11">
    <w:name w:val="Body Text First Indent"/>
    <w:basedOn w:val="5"/>
    <w:qFormat/>
    <w:uiPriority w:val="0"/>
    <w:pPr>
      <w:spacing w:line="360" w:lineRule="auto"/>
      <w:ind w:firstLine="420"/>
    </w:pPr>
    <w:rPr>
      <w:rFonts w:ascii="宋体" w:hAnsi="宋体"/>
      <w:sz w:val="24"/>
    </w:rPr>
  </w:style>
  <w:style w:type="paragraph" w:customStyle="1" w:styleId="14">
    <w:name w:val="文章正文"/>
    <w:basedOn w:val="1"/>
    <w:next w:val="1"/>
    <w:qFormat/>
    <w:uiPriority w:val="0"/>
    <w:pPr>
      <w:spacing w:line="360" w:lineRule="auto"/>
      <w:ind w:firstLine="480"/>
    </w:pPr>
    <w:rPr>
      <w:rFonts w:hAnsi="宋体" w:eastAsia="宋体" w:cs="宋体"/>
      <w:sz w:val="24"/>
    </w:rPr>
  </w:style>
  <w:style w:type="paragraph" w:customStyle="1" w:styleId="15">
    <w:name w:val="样式 正文首行缩进 + 首行缩进:  2 字符1 Char Char"/>
    <w:basedOn w:val="1"/>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customStyle="1" w:styleId="16">
    <w:name w:val="1.正文"/>
    <w:basedOn w:val="1"/>
    <w:qFormat/>
    <w:uiPriority w:val="0"/>
    <w:pPr>
      <w:spacing w:line="360" w:lineRule="auto"/>
      <w:ind w:left="540" w:leftChars="225" w:firstLine="540" w:firstLineChars="225"/>
    </w:pPr>
    <w:rPr>
      <w:sz w:val="24"/>
    </w:rPr>
  </w:style>
  <w:style w:type="character" w:customStyle="1" w:styleId="17">
    <w:name w:val="font81"/>
    <w:basedOn w:val="13"/>
    <w:qFormat/>
    <w:uiPriority w:val="0"/>
    <w:rPr>
      <w:rFonts w:hint="eastAsia" w:ascii="宋体" w:hAnsi="宋体" w:eastAsia="宋体" w:cs="宋体"/>
      <w:color w:val="000000"/>
      <w:sz w:val="22"/>
      <w:szCs w:val="22"/>
      <w:u w:val="none"/>
    </w:rPr>
  </w:style>
  <w:style w:type="character" w:customStyle="1" w:styleId="18">
    <w:name w:val="font51"/>
    <w:basedOn w:val="13"/>
    <w:qFormat/>
    <w:uiPriority w:val="0"/>
    <w:rPr>
      <w:rFonts w:ascii="宋体" w:hAnsi="宋体" w:eastAsia="宋体" w:cs="宋体"/>
      <w:color w:val="000000"/>
      <w:sz w:val="22"/>
      <w:szCs w:val="22"/>
      <w:u w:val="none"/>
    </w:rPr>
  </w:style>
  <w:style w:type="character" w:customStyle="1" w:styleId="19">
    <w:name w:val="font61"/>
    <w:basedOn w:val="13"/>
    <w:qFormat/>
    <w:uiPriority w:val="0"/>
    <w:rPr>
      <w:rFonts w:ascii="宋体" w:hAnsi="宋体" w:eastAsia="宋体" w:cs="宋体"/>
      <w:color w:val="000000"/>
      <w:sz w:val="22"/>
      <w:szCs w:val="22"/>
      <w:u w:val="none"/>
    </w:rPr>
  </w:style>
  <w:style w:type="character" w:customStyle="1" w:styleId="20">
    <w:name w:val="font101"/>
    <w:basedOn w:val="13"/>
    <w:qFormat/>
    <w:uiPriority w:val="0"/>
    <w:rPr>
      <w:rFonts w:hint="eastAsia" w:ascii="宋体" w:hAnsi="宋体" w:eastAsia="宋体" w:cs="宋体"/>
      <w:color w:val="000000"/>
      <w:sz w:val="22"/>
      <w:szCs w:val="22"/>
      <w:u w:val="none"/>
    </w:rPr>
  </w:style>
  <w:style w:type="paragraph" w:customStyle="1" w:styleId="21">
    <w:name w:val="_Style 4"/>
    <w:basedOn w:val="2"/>
    <w:next w:val="1"/>
    <w:qFormat/>
    <w:uiPriority w:val="39"/>
    <w:pPr>
      <w:outlineLvl w:val="9"/>
    </w:pPr>
  </w:style>
  <w:style w:type="paragraph" w:styleId="22">
    <w:name w:val="List Paragraph"/>
    <w:basedOn w:val="1"/>
    <w:unhideWhenUsed/>
    <w:qFormat/>
    <w:uiPriority w:val="99"/>
    <w:pPr>
      <w:ind w:firstLine="420" w:firstLineChars="200"/>
    </w:pPr>
  </w:style>
  <w:style w:type="character" w:customStyle="1" w:styleId="23">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4132</Words>
  <Characters>4371</Characters>
  <Lines>0</Lines>
  <Paragraphs>0</Paragraphs>
  <TotalTime>21</TotalTime>
  <ScaleCrop>false</ScaleCrop>
  <LinksUpToDate>false</LinksUpToDate>
  <CharactersWithSpaces>5391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2024-03-05T06:53:00Z</dcterms:created>
  <dc:creator>王万卿</dc:creator>
  <cp:lastModifiedBy>王万卿</cp:lastModifiedBy>
  <dcterms:modified xsi:type="dcterms:W3CDTF">2025-01-07T07:55:02Z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716D356D4B4D48B3BF3D04A40882A7D3_13</vt:lpwstr>
  </property>
  <property fmtid="{D5CDD505-2E9C-101B-9397-08002B2CF9AE}" pid="4" name="KSOTemplateDocerSaveRecord">
    <vt:lpwstr>eyJoZGlkIjoiZDdlMDk4ZjczZjM4NmUwNmUwODAxYWRmYTE1ODJiZjIiLCJ1c2VySWQiOiIyMjg2NTc0NTcifQ==</vt:lpwstr>
  </property>
</Properties>
</file>