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7421872"/>
      <w:bookmarkStart w:id="2" w:name="_Toc23682"/>
      <w:r>
        <w:rPr>
          <w:rFonts w:hint="eastAsia" w:asciiTheme="minorEastAsia" w:hAnsiTheme="minorEastAsia" w:eastAsiaTheme="minorEastAsia" w:cstheme="minorEastAsia"/>
          <w:sz w:val="44"/>
          <w:szCs w:val="44"/>
          <w:highlight w:val="none"/>
          <w:u w:val="single"/>
          <w:lang w:val="en-US" w:eastAsia="zh-CN"/>
        </w:rPr>
        <w:t>南泉街道2024年第一批“四好农村路”项目（项目名称）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轻型自卸货车租赁</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5 月 29</w:t>
      </w:r>
      <w:bookmarkStart w:id="12" w:name="_GoBack"/>
      <w:bookmarkEnd w:id="12"/>
      <w:r>
        <w:rPr>
          <w:rFonts w:hint="eastAsia" w:asciiTheme="minorEastAsia" w:hAnsiTheme="minorEastAsia" w:eastAsiaTheme="minorEastAsia" w:cstheme="minorEastAsia"/>
          <w:b w:val="0"/>
          <w:bCs w:val="0"/>
          <w:sz w:val="36"/>
          <w:szCs w:val="15"/>
          <w:u w:val="none"/>
          <w:lang w:val="en-US" w:eastAsia="zh-CN"/>
        </w:rPr>
        <w:t xml:space="preserve">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项目名称：南泉街道2024年第一批“四好农村路”项目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项目地址：巴南区南泉街道辖区内</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比选内容：轻型自卸货车租赁。</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车辆规格型号及工程量：</w:t>
      </w:r>
      <w:r>
        <w:rPr>
          <w:rFonts w:hint="eastAsia" w:asciiTheme="minorEastAsia" w:hAnsiTheme="minorEastAsia" w:eastAsiaTheme="minorEastAsia" w:cstheme="minorEastAsia"/>
          <w:color w:val="auto"/>
          <w:kern w:val="2"/>
          <w:sz w:val="28"/>
          <w:szCs w:val="28"/>
          <w:highlight w:val="none"/>
          <w:lang w:val="en-US" w:eastAsia="zh-CN" w:bidi="ar-SA"/>
        </w:rPr>
        <w:t>载重1吨的轻型自卸货车约90台班实际工程量以甲方通知为准</w:t>
      </w:r>
      <w:r>
        <w:rPr>
          <w:rFonts w:hint="eastAsia" w:asciiTheme="minorEastAsia" w:hAnsiTheme="minorEastAsia" w:eastAsiaTheme="minorEastAsia" w:cstheme="minorEastAsia"/>
          <w:kern w:val="2"/>
          <w:sz w:val="28"/>
          <w:szCs w:val="28"/>
          <w:lang w:val="en-US" w:eastAsia="zh-CN" w:bidi="ar-SA"/>
        </w:rPr>
        <w:t>。</w:t>
      </w:r>
    </w:p>
    <w:p w14:paraId="01BF72FF">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报价包含租赁期间的燃油、操作工、机械维修、保养等完成工作内容的所有费用</w:t>
      </w:r>
      <w:r>
        <w:rPr>
          <w:rFonts w:hint="eastAsia" w:asciiTheme="minorEastAsia" w:hAnsiTheme="minorEastAsia" w:eastAsiaTheme="minorEastAsia" w:cstheme="minorEastAsia"/>
          <w:kern w:val="2"/>
          <w:sz w:val="28"/>
          <w:szCs w:val="28"/>
          <w:lang w:val="en-US" w:eastAsia="zh-CN" w:bidi="ar-SA"/>
        </w:rPr>
        <w:t>。</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w:t>
      </w:r>
      <w:r>
        <w:rPr>
          <w:rFonts w:hint="eastAsia" w:asciiTheme="minorEastAsia" w:hAnsiTheme="minorEastAsia" w:eastAsiaTheme="minorEastAsia" w:cstheme="minorEastAsia"/>
          <w:kern w:val="2"/>
          <w:sz w:val="28"/>
          <w:szCs w:val="28"/>
          <w:highlight w:val="none"/>
          <w:lang w:val="en-US" w:eastAsia="zh-CN" w:bidi="ar-SA"/>
        </w:rPr>
        <w:t>3%及以上增值</w:t>
      </w:r>
      <w:r>
        <w:rPr>
          <w:rFonts w:hint="eastAsia" w:asciiTheme="minorEastAsia" w:hAnsiTheme="minorEastAsia" w:eastAsiaTheme="minorEastAsia" w:cstheme="minorEastAsia"/>
          <w:kern w:val="2"/>
          <w:sz w:val="28"/>
          <w:szCs w:val="28"/>
          <w:lang w:val="en-US" w:eastAsia="zh-CN" w:bidi="ar-SA"/>
        </w:rPr>
        <w:t>税专用发票，</w:t>
      </w:r>
      <w:r>
        <w:rPr>
          <w:rFonts w:hint="eastAsia" w:asciiTheme="minorEastAsia" w:hAnsiTheme="minorEastAsia" w:eastAsiaTheme="minorEastAsia" w:cstheme="minorEastAsia"/>
          <w:color w:val="auto"/>
          <w:kern w:val="2"/>
          <w:sz w:val="28"/>
          <w:szCs w:val="28"/>
          <w:highlight w:val="none"/>
          <w:lang w:val="en-US" w:eastAsia="zh-CN" w:bidi="ar-SA"/>
        </w:rPr>
        <w:t>支付运输款时，乙方必须提供增值税发票。否则甲方有权拒绝付款，且不承担任何责任。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53847125">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1BEA749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1D5AA407">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报价文件递交开始时间：2025年6月3日9:30（含9:30）。</w:t>
      </w:r>
    </w:p>
    <w:p w14:paraId="4F4AF1C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报价文件递交截止时间：2025年6月3日10:00（含10:00）。</w:t>
      </w:r>
    </w:p>
    <w:p w14:paraId="52DBBE4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21386AE6">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评审办法：最低不含税总价。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最终结算金额=实际运输量×</w:t>
      </w:r>
      <w:r>
        <w:rPr>
          <w:rFonts w:hint="eastAsia" w:asciiTheme="minorEastAsia" w:hAnsiTheme="minorEastAsia" w:eastAsiaTheme="minorEastAsia" w:cstheme="minorEastAsia"/>
          <w:kern w:val="2"/>
          <w:sz w:val="28"/>
          <w:szCs w:val="28"/>
          <w:highlight w:val="none"/>
          <w:lang w:val="en-US" w:eastAsia="zh-CN" w:bidi="ar-SA"/>
        </w:rPr>
        <w:t>中标含税综合单价。</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付款方式：项目完工且结算办理完成后，一个月内付清全款</w:t>
      </w:r>
      <w:r>
        <w:rPr>
          <w:rFonts w:hint="eastAsia" w:asciiTheme="minorEastAsia" w:hAnsiTheme="minorEastAsia" w:eastAsiaTheme="minorEastAsia" w:cstheme="minorEastAsia"/>
          <w:sz w:val="28"/>
          <w:szCs w:val="28"/>
          <w:highlight w:val="none"/>
          <w:lang w:val="en-US" w:eastAsia="zh-CN"/>
        </w:rPr>
        <w:t>。</w:t>
      </w:r>
    </w:p>
    <w:p w14:paraId="6A30D36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三、投标人有下列情形之一的不得参与本次投标：</w:t>
      </w:r>
    </w:p>
    <w:p w14:paraId="53916E95">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rPr>
          <w:rFonts w:hint="eastAsia" w:asciiTheme="minorEastAsia" w:hAnsiTheme="minorEastAsia" w:eastAsiaTheme="minorEastAsia" w:cstheme="minorEastAsia"/>
          <w:sz w:val="28"/>
          <w:szCs w:val="28"/>
          <w:highlight w:val="none"/>
          <w:lang w:val="en-US" w:eastAsia="zh-CN"/>
        </w:rPr>
        <w:sectPr>
          <w:pgSz w:w="11906" w:h="16838"/>
          <w:pgMar w:top="1383"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0BFE9B4B">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pPr w:leftFromText="180" w:rightFromText="180" w:vertAnchor="text" w:horzAnchor="page" w:tblpX="754" w:tblpY="493"/>
        <w:tblOverlap w:val="never"/>
        <w:tblW w:w="10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424"/>
        <w:gridCol w:w="1050"/>
        <w:gridCol w:w="767"/>
        <w:gridCol w:w="1006"/>
        <w:gridCol w:w="2761"/>
        <w:gridCol w:w="3203"/>
      </w:tblGrid>
      <w:tr w14:paraId="52B3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0720" w:type="dxa"/>
            <w:gridSpan w:val="7"/>
            <w:vMerge w:val="restart"/>
            <w:tcBorders>
              <w:top w:val="nil"/>
              <w:left w:val="nil"/>
              <w:bottom w:val="nil"/>
              <w:right w:val="nil"/>
            </w:tcBorders>
            <w:shd w:val="clear" w:color="auto" w:fill="auto"/>
            <w:vAlign w:val="center"/>
          </w:tcPr>
          <w:p w14:paraId="1E2D796E">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南泉街道2024年第一批“四好农村路”项目</w:t>
            </w:r>
            <w:r>
              <w:rPr>
                <w:rFonts w:hint="eastAsia" w:ascii="宋体" w:hAnsi="宋体" w:eastAsia="宋体" w:cs="宋体"/>
                <w:i w:val="0"/>
                <w:iCs w:val="0"/>
                <w:color w:val="000000"/>
                <w:kern w:val="0"/>
                <w:sz w:val="52"/>
                <w:szCs w:val="52"/>
                <w:u w:val="none"/>
                <w:lang w:val="en-US" w:eastAsia="zh-CN" w:bidi="ar"/>
              </w:rPr>
              <w:br w:type="textWrapping"/>
            </w:r>
            <w:r>
              <w:rPr>
                <w:rFonts w:hint="eastAsia" w:ascii="宋体" w:hAnsi="宋体" w:eastAsia="宋体" w:cs="宋体"/>
                <w:i w:val="0"/>
                <w:iCs w:val="0"/>
                <w:color w:val="000000"/>
                <w:kern w:val="0"/>
                <w:sz w:val="52"/>
                <w:szCs w:val="52"/>
                <w:u w:val="none"/>
                <w:lang w:val="en-US" w:eastAsia="zh-CN" w:bidi="ar"/>
              </w:rPr>
              <w:t>轻型自卸货车租赁最高限价</w:t>
            </w:r>
          </w:p>
        </w:tc>
      </w:tr>
      <w:tr w14:paraId="3ADC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720" w:type="dxa"/>
            <w:gridSpan w:val="7"/>
            <w:vMerge w:val="continue"/>
            <w:tcBorders>
              <w:top w:val="nil"/>
              <w:left w:val="nil"/>
              <w:bottom w:val="nil"/>
              <w:right w:val="nil"/>
            </w:tcBorders>
            <w:shd w:val="clear" w:color="auto" w:fill="auto"/>
            <w:vAlign w:val="center"/>
          </w:tcPr>
          <w:p w14:paraId="36F82845">
            <w:pPr>
              <w:jc w:val="center"/>
              <w:rPr>
                <w:rFonts w:hint="eastAsia" w:ascii="宋体" w:hAnsi="宋体" w:eastAsia="宋体" w:cs="宋体"/>
                <w:i w:val="0"/>
                <w:iCs w:val="0"/>
                <w:color w:val="000000"/>
                <w:sz w:val="52"/>
                <w:szCs w:val="52"/>
                <w:u w:val="none"/>
              </w:rPr>
            </w:pPr>
          </w:p>
        </w:tc>
      </w:tr>
      <w:tr w14:paraId="1698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0720" w:type="dxa"/>
            <w:gridSpan w:val="7"/>
            <w:vMerge w:val="continue"/>
            <w:tcBorders>
              <w:top w:val="nil"/>
              <w:left w:val="nil"/>
              <w:bottom w:val="nil"/>
              <w:right w:val="nil"/>
            </w:tcBorders>
            <w:shd w:val="clear" w:color="auto" w:fill="auto"/>
            <w:vAlign w:val="center"/>
          </w:tcPr>
          <w:p w14:paraId="56641B2D">
            <w:pPr>
              <w:jc w:val="center"/>
              <w:rPr>
                <w:rFonts w:hint="eastAsia" w:ascii="宋体" w:hAnsi="宋体" w:eastAsia="宋体" w:cs="宋体"/>
                <w:i w:val="0"/>
                <w:iCs w:val="0"/>
                <w:color w:val="000000"/>
                <w:sz w:val="52"/>
                <w:szCs w:val="52"/>
                <w:u w:val="none"/>
              </w:rPr>
            </w:pPr>
          </w:p>
        </w:tc>
      </w:tr>
      <w:tr w14:paraId="285B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9" w:type="dxa"/>
            <w:vMerge w:val="restart"/>
            <w:tcBorders>
              <w:top w:val="single" w:color="000000" w:sz="4" w:space="0"/>
              <w:left w:val="single" w:color="000000" w:sz="4" w:space="0"/>
              <w:bottom w:val="nil"/>
              <w:right w:val="single" w:color="000000" w:sz="4" w:space="0"/>
            </w:tcBorders>
            <w:shd w:val="clear" w:color="auto" w:fill="auto"/>
            <w:vAlign w:val="center"/>
          </w:tcPr>
          <w:p w14:paraId="1825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4" w:space="0"/>
              <w:left w:val="single" w:color="000000" w:sz="4" w:space="0"/>
              <w:bottom w:val="nil"/>
              <w:right w:val="single" w:color="000000" w:sz="4" w:space="0"/>
            </w:tcBorders>
            <w:shd w:val="clear" w:color="auto" w:fill="auto"/>
            <w:vAlign w:val="center"/>
          </w:tcPr>
          <w:p w14:paraId="006B0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74A73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67" w:type="dxa"/>
            <w:vMerge w:val="restart"/>
            <w:tcBorders>
              <w:top w:val="single" w:color="000000" w:sz="4" w:space="0"/>
              <w:left w:val="single" w:color="000000" w:sz="4" w:space="0"/>
              <w:bottom w:val="nil"/>
              <w:right w:val="single" w:color="000000" w:sz="4" w:space="0"/>
            </w:tcBorders>
            <w:shd w:val="clear" w:color="auto" w:fill="auto"/>
            <w:vAlign w:val="center"/>
          </w:tcPr>
          <w:p w14:paraId="2D74E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06" w:type="dxa"/>
            <w:vMerge w:val="restart"/>
            <w:tcBorders>
              <w:top w:val="single" w:color="000000" w:sz="4" w:space="0"/>
              <w:left w:val="single" w:color="000000" w:sz="4" w:space="0"/>
              <w:bottom w:val="nil"/>
              <w:right w:val="single" w:color="000000" w:sz="4" w:space="0"/>
            </w:tcBorders>
            <w:shd w:val="clear" w:color="auto" w:fill="auto"/>
            <w:vAlign w:val="center"/>
          </w:tcPr>
          <w:p w14:paraId="6BBE9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A1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最高限价（不含税综合单价）（元）</w:t>
            </w:r>
          </w:p>
        </w:tc>
        <w:tc>
          <w:tcPr>
            <w:tcW w:w="3203" w:type="dxa"/>
            <w:vMerge w:val="restart"/>
            <w:tcBorders>
              <w:top w:val="single" w:color="000000" w:sz="4" w:space="0"/>
              <w:left w:val="single" w:color="000000" w:sz="4" w:space="0"/>
              <w:bottom w:val="nil"/>
              <w:right w:val="single" w:color="000000" w:sz="4" w:space="0"/>
            </w:tcBorders>
            <w:shd w:val="clear" w:color="auto" w:fill="auto"/>
            <w:vAlign w:val="center"/>
          </w:tcPr>
          <w:p w14:paraId="0A93A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C94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509" w:type="dxa"/>
            <w:vMerge w:val="continue"/>
            <w:tcBorders>
              <w:top w:val="single" w:color="000000" w:sz="4" w:space="0"/>
              <w:left w:val="single" w:color="000000" w:sz="4" w:space="0"/>
              <w:bottom w:val="nil"/>
              <w:right w:val="single" w:color="000000" w:sz="4" w:space="0"/>
            </w:tcBorders>
            <w:shd w:val="clear" w:color="auto" w:fill="auto"/>
            <w:vAlign w:val="center"/>
          </w:tcPr>
          <w:p w14:paraId="06B2FCA4">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nil"/>
              <w:right w:val="single" w:color="000000" w:sz="4" w:space="0"/>
            </w:tcBorders>
            <w:shd w:val="clear" w:color="auto" w:fill="auto"/>
            <w:vAlign w:val="center"/>
          </w:tcPr>
          <w:p w14:paraId="17AE089B">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35312409">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nil"/>
              <w:right w:val="single" w:color="000000" w:sz="4" w:space="0"/>
            </w:tcBorders>
            <w:shd w:val="clear" w:color="auto" w:fill="auto"/>
            <w:vAlign w:val="center"/>
          </w:tcPr>
          <w:p w14:paraId="517804AF">
            <w:pPr>
              <w:jc w:val="center"/>
              <w:rPr>
                <w:rFonts w:hint="eastAsia" w:ascii="宋体" w:hAnsi="宋体" w:eastAsia="宋体" w:cs="宋体"/>
                <w:i w:val="0"/>
                <w:iCs w:val="0"/>
                <w:color w:val="000000"/>
                <w:sz w:val="20"/>
                <w:szCs w:val="20"/>
                <w:u w:val="none"/>
              </w:rPr>
            </w:pPr>
          </w:p>
        </w:tc>
        <w:tc>
          <w:tcPr>
            <w:tcW w:w="1006" w:type="dxa"/>
            <w:vMerge w:val="continue"/>
            <w:tcBorders>
              <w:top w:val="single" w:color="000000" w:sz="4" w:space="0"/>
              <w:left w:val="single" w:color="000000" w:sz="4" w:space="0"/>
              <w:bottom w:val="nil"/>
              <w:right w:val="single" w:color="000000" w:sz="4" w:space="0"/>
            </w:tcBorders>
            <w:shd w:val="clear" w:color="auto" w:fill="auto"/>
            <w:vAlign w:val="center"/>
          </w:tcPr>
          <w:p w14:paraId="16C9DEBC">
            <w:pPr>
              <w:jc w:val="center"/>
              <w:rPr>
                <w:rFonts w:hint="eastAsia" w:ascii="宋体" w:hAnsi="宋体" w:eastAsia="宋体" w:cs="宋体"/>
                <w:i w:val="0"/>
                <w:iCs w:val="0"/>
                <w:color w:val="000000"/>
                <w:sz w:val="20"/>
                <w:szCs w:val="20"/>
                <w:u w:val="none"/>
              </w:rPr>
            </w:pPr>
          </w:p>
        </w:tc>
        <w:tc>
          <w:tcPr>
            <w:tcW w:w="2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BC7F">
            <w:pPr>
              <w:jc w:val="center"/>
              <w:rPr>
                <w:rFonts w:hint="eastAsia" w:ascii="宋体" w:hAnsi="宋体" w:eastAsia="宋体" w:cs="宋体"/>
                <w:i w:val="0"/>
                <w:iCs w:val="0"/>
                <w:color w:val="000000"/>
                <w:sz w:val="20"/>
                <w:szCs w:val="20"/>
                <w:u w:val="none"/>
              </w:rPr>
            </w:pPr>
          </w:p>
        </w:tc>
        <w:tc>
          <w:tcPr>
            <w:tcW w:w="3203" w:type="dxa"/>
            <w:vMerge w:val="continue"/>
            <w:tcBorders>
              <w:top w:val="single" w:color="000000" w:sz="4" w:space="0"/>
              <w:left w:val="single" w:color="000000" w:sz="4" w:space="0"/>
              <w:bottom w:val="nil"/>
              <w:right w:val="single" w:color="000000" w:sz="4" w:space="0"/>
            </w:tcBorders>
            <w:shd w:val="clear" w:color="auto" w:fill="auto"/>
            <w:vAlign w:val="center"/>
          </w:tcPr>
          <w:p w14:paraId="564A68AD">
            <w:pPr>
              <w:jc w:val="center"/>
              <w:rPr>
                <w:rFonts w:hint="eastAsia" w:ascii="宋体" w:hAnsi="宋体" w:eastAsia="宋体" w:cs="宋体"/>
                <w:i w:val="0"/>
                <w:iCs w:val="0"/>
                <w:color w:val="000000"/>
                <w:sz w:val="20"/>
                <w:szCs w:val="20"/>
                <w:u w:val="none"/>
              </w:rPr>
            </w:pPr>
          </w:p>
        </w:tc>
      </w:tr>
      <w:tr w14:paraId="161A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9" w:type="dxa"/>
            <w:vMerge w:val="continue"/>
            <w:tcBorders>
              <w:top w:val="single" w:color="000000" w:sz="4" w:space="0"/>
              <w:left w:val="single" w:color="000000" w:sz="4" w:space="0"/>
              <w:bottom w:val="nil"/>
              <w:right w:val="single" w:color="000000" w:sz="4" w:space="0"/>
            </w:tcBorders>
            <w:shd w:val="clear" w:color="auto" w:fill="auto"/>
            <w:vAlign w:val="center"/>
          </w:tcPr>
          <w:p w14:paraId="1DB3742C">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4" w:space="0"/>
              <w:left w:val="single" w:color="000000" w:sz="4" w:space="0"/>
              <w:bottom w:val="nil"/>
              <w:right w:val="single" w:color="000000" w:sz="4" w:space="0"/>
            </w:tcBorders>
            <w:shd w:val="clear" w:color="auto" w:fill="auto"/>
            <w:vAlign w:val="center"/>
          </w:tcPr>
          <w:p w14:paraId="67A97372">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26B8EF30">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nil"/>
              <w:right w:val="single" w:color="000000" w:sz="4" w:space="0"/>
            </w:tcBorders>
            <w:shd w:val="clear" w:color="auto" w:fill="auto"/>
            <w:vAlign w:val="center"/>
          </w:tcPr>
          <w:p w14:paraId="0377822E">
            <w:pPr>
              <w:jc w:val="center"/>
              <w:rPr>
                <w:rFonts w:hint="eastAsia" w:ascii="宋体" w:hAnsi="宋体" w:eastAsia="宋体" w:cs="宋体"/>
                <w:i w:val="0"/>
                <w:iCs w:val="0"/>
                <w:color w:val="000000"/>
                <w:sz w:val="20"/>
                <w:szCs w:val="20"/>
                <w:u w:val="none"/>
              </w:rPr>
            </w:pPr>
          </w:p>
        </w:tc>
        <w:tc>
          <w:tcPr>
            <w:tcW w:w="1006" w:type="dxa"/>
            <w:vMerge w:val="continue"/>
            <w:tcBorders>
              <w:top w:val="single" w:color="000000" w:sz="4" w:space="0"/>
              <w:left w:val="single" w:color="000000" w:sz="4" w:space="0"/>
              <w:bottom w:val="nil"/>
              <w:right w:val="single" w:color="000000" w:sz="4" w:space="0"/>
            </w:tcBorders>
            <w:shd w:val="clear" w:color="auto" w:fill="auto"/>
            <w:vAlign w:val="center"/>
          </w:tcPr>
          <w:p w14:paraId="1B3AA830">
            <w:pPr>
              <w:jc w:val="center"/>
              <w:rPr>
                <w:rFonts w:hint="eastAsia" w:ascii="宋体" w:hAnsi="宋体" w:eastAsia="宋体" w:cs="宋体"/>
                <w:i w:val="0"/>
                <w:iCs w:val="0"/>
                <w:color w:val="000000"/>
                <w:sz w:val="20"/>
                <w:szCs w:val="20"/>
                <w:u w:val="none"/>
              </w:rPr>
            </w:pPr>
          </w:p>
        </w:tc>
        <w:tc>
          <w:tcPr>
            <w:tcW w:w="2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E99B">
            <w:pPr>
              <w:jc w:val="center"/>
              <w:rPr>
                <w:rFonts w:hint="eastAsia" w:ascii="宋体" w:hAnsi="宋体" w:eastAsia="宋体" w:cs="宋体"/>
                <w:i w:val="0"/>
                <w:iCs w:val="0"/>
                <w:color w:val="000000"/>
                <w:sz w:val="20"/>
                <w:szCs w:val="20"/>
                <w:u w:val="none"/>
              </w:rPr>
            </w:pPr>
          </w:p>
        </w:tc>
        <w:tc>
          <w:tcPr>
            <w:tcW w:w="3203" w:type="dxa"/>
            <w:vMerge w:val="continue"/>
            <w:tcBorders>
              <w:top w:val="single" w:color="000000" w:sz="4" w:space="0"/>
              <w:left w:val="single" w:color="000000" w:sz="4" w:space="0"/>
              <w:bottom w:val="nil"/>
              <w:right w:val="single" w:color="000000" w:sz="4" w:space="0"/>
            </w:tcBorders>
            <w:shd w:val="clear" w:color="auto" w:fill="auto"/>
            <w:vAlign w:val="center"/>
          </w:tcPr>
          <w:p w14:paraId="32B21B44">
            <w:pPr>
              <w:jc w:val="center"/>
              <w:rPr>
                <w:rFonts w:hint="eastAsia" w:ascii="宋体" w:hAnsi="宋体" w:eastAsia="宋体" w:cs="宋体"/>
                <w:i w:val="0"/>
                <w:iCs w:val="0"/>
                <w:color w:val="000000"/>
                <w:sz w:val="20"/>
                <w:szCs w:val="20"/>
                <w:u w:val="none"/>
              </w:rPr>
            </w:pPr>
          </w:p>
        </w:tc>
      </w:tr>
      <w:tr w14:paraId="218E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5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轻型自卸货车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载重1吨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C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7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776.70 </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包含租赁期间的燃油、操作工、机械维修、保养等完成工作内容的所有费用。</w:t>
            </w:r>
          </w:p>
        </w:tc>
      </w:tr>
      <w:tr w14:paraId="434B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1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6DE">
            <w:pPr>
              <w:jc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E29">
            <w:pPr>
              <w:jc w:val="center"/>
              <w:rPr>
                <w:rFonts w:hint="eastAsia" w:ascii="宋体" w:hAnsi="宋体" w:eastAsia="宋体" w:cs="宋体"/>
                <w:i w:val="0"/>
                <w:iCs w:val="0"/>
                <w:color w:val="000000"/>
                <w:sz w:val="20"/>
                <w:szCs w:val="20"/>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B60">
            <w:pPr>
              <w:jc w:val="center"/>
              <w:rPr>
                <w:rFonts w:hint="eastAsia" w:ascii="宋体" w:hAnsi="宋体" w:eastAsia="宋体" w:cs="宋体"/>
                <w:i w:val="0"/>
                <w:iCs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365">
            <w:pPr>
              <w:jc w:val="center"/>
              <w:rPr>
                <w:rFonts w:hint="eastAsia" w:ascii="宋体" w:hAnsi="宋体" w:eastAsia="宋体" w:cs="宋体"/>
                <w:i w:val="0"/>
                <w:iCs w:val="0"/>
                <w:color w:val="000000"/>
                <w:sz w:val="20"/>
                <w:szCs w:val="20"/>
                <w:u w:val="none"/>
              </w:rPr>
            </w:pPr>
          </w:p>
        </w:tc>
      </w:tr>
      <w:tr w14:paraId="3F36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07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D57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付款方式：项目完工且结算办理完成后，一个月内付清全款。</w:t>
            </w:r>
          </w:p>
        </w:tc>
      </w:tr>
    </w:tbl>
    <w:p w14:paraId="4375240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0676B0DA">
      <w:pPr>
        <w:rPr>
          <w:rFonts w:hint="eastAsia" w:asciiTheme="minorEastAsia" w:hAnsiTheme="minorEastAsia" w:eastAsiaTheme="minorEastAsia" w:cstheme="minorEastAsia"/>
          <w:sz w:val="40"/>
          <w:szCs w:val="40"/>
          <w:highlight w:val="none"/>
          <w:lang w:val="en-US" w:eastAsia="zh-CN"/>
        </w:rPr>
      </w:pPr>
    </w:p>
    <w:p w14:paraId="08535816">
      <w:pPr>
        <w:rPr>
          <w:rFonts w:hint="eastAsia" w:asciiTheme="minorEastAsia" w:hAnsiTheme="minorEastAsia" w:eastAsiaTheme="minorEastAsia" w:cstheme="minorEastAsia"/>
          <w:sz w:val="40"/>
          <w:szCs w:val="40"/>
          <w:highlight w:val="none"/>
          <w:lang w:val="en-US" w:eastAsia="zh-CN"/>
        </w:rPr>
      </w:pPr>
    </w:p>
    <w:p w14:paraId="1FB47D38">
      <w:pPr>
        <w:rPr>
          <w:rFonts w:hint="eastAsia" w:asciiTheme="minorEastAsia" w:hAnsiTheme="minorEastAsia" w:eastAsiaTheme="minorEastAsia" w:cstheme="minorEastAsia"/>
          <w:sz w:val="40"/>
          <w:szCs w:val="40"/>
          <w:highlight w:val="none"/>
          <w:lang w:val="en-US" w:eastAsia="zh-CN"/>
        </w:rPr>
      </w:pPr>
    </w:p>
    <w:p w14:paraId="7813C53E">
      <w:pPr>
        <w:rPr>
          <w:rFonts w:hint="eastAsia" w:asciiTheme="minorEastAsia" w:hAnsiTheme="minorEastAsia" w:eastAsiaTheme="minorEastAsia" w:cstheme="minorEastAsia"/>
          <w:sz w:val="40"/>
          <w:szCs w:val="40"/>
          <w:highlight w:val="none"/>
          <w:lang w:val="en-US" w:eastAsia="zh-CN"/>
        </w:rPr>
      </w:pPr>
    </w:p>
    <w:p w14:paraId="48F518E8">
      <w:pPr>
        <w:rPr>
          <w:rFonts w:hint="eastAsia" w:asciiTheme="minorEastAsia" w:hAnsiTheme="minorEastAsia" w:eastAsiaTheme="minorEastAsia" w:cstheme="minorEastAsia"/>
          <w:sz w:val="40"/>
          <w:szCs w:val="40"/>
          <w:highlight w:val="none"/>
          <w:lang w:val="en-US" w:eastAsia="zh-CN"/>
        </w:rPr>
      </w:pPr>
    </w:p>
    <w:p w14:paraId="6B2AD74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p>
    <w:p w14:paraId="7C6E707D">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A5B549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30052B5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1F5E8C7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0DCBB41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2A61074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037773E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7EC339F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D5530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9A3DFA1">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2753AA7">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656CEAE">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FF185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3411F06">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715380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11A0D36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8CDE965">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8F6DDA3">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EE58180">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63FE7BE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9F6477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709"/>
      <w:bookmarkStart w:id="4" w:name="_Toc453079648"/>
      <w:bookmarkStart w:id="5" w:name="_Toc453162622"/>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269C7BA4">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轻型自卸货车租赁</w:t>
      </w:r>
    </w:p>
    <w:p w14:paraId="3B5C6FE8">
      <w:pPr>
        <w:pStyle w:val="5"/>
        <w:ind w:left="119" w:firstLine="0" w:firstLineChars="0"/>
        <w:jc w:val="center"/>
        <w:rPr>
          <w:rFonts w:hint="eastAsia" w:asciiTheme="minorEastAsia" w:hAnsiTheme="minorEastAsia" w:eastAsiaTheme="minorEastAsia" w:cstheme="minorEastAsia"/>
          <w:sz w:val="72"/>
        </w:rPr>
      </w:pPr>
    </w:p>
    <w:p w14:paraId="3AAF36D7">
      <w:pPr>
        <w:pStyle w:val="5"/>
        <w:ind w:left="119" w:firstLine="0" w:firstLineChars="0"/>
        <w:jc w:val="center"/>
        <w:rPr>
          <w:rFonts w:hint="eastAsia" w:asciiTheme="minorEastAsia" w:hAnsiTheme="minorEastAsia" w:eastAsiaTheme="minorEastAsia" w:cstheme="minorEastAsia"/>
          <w:sz w:val="72"/>
          <w:lang w:eastAsia="zh-CN"/>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544DBDC3">
      <w:pPr>
        <w:tabs>
          <w:tab w:val="left" w:pos="6300"/>
        </w:tabs>
        <w:snapToGrid w:val="0"/>
        <w:spacing w:line="360" w:lineRule="auto"/>
        <w:ind w:left="279" w:leftChars="133"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eastAsia="zh-CN"/>
        </w:rPr>
        <w:t>不含税</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eastAsia="zh-CN"/>
        </w:rPr>
        <w:t>：</w:t>
      </w:r>
    </w:p>
    <w:p w14:paraId="057C79DF">
      <w:pPr>
        <w:tabs>
          <w:tab w:val="left" w:pos="6300"/>
        </w:tabs>
        <w:snapToGrid w:val="0"/>
        <w:spacing w:line="360" w:lineRule="auto"/>
        <w:ind w:left="16" w:leftChars="0" w:hanging="16" w:hangingChars="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元（大写：       ）</w:t>
      </w:r>
      <w:r>
        <w:rPr>
          <w:rFonts w:hint="eastAsia" w:asciiTheme="minorEastAsia" w:hAnsiTheme="minorEastAsia" w:eastAsiaTheme="minorEastAsia" w:cstheme="minorEastAsia"/>
          <w:sz w:val="28"/>
          <w:szCs w:val="28"/>
          <w:u w:val="none"/>
          <w:lang w:val="en-US" w:eastAsia="zh-CN"/>
        </w:rPr>
        <w:t>，</w:t>
      </w:r>
      <w:r>
        <w:rPr>
          <w:rFonts w:hint="eastAsia" w:asciiTheme="minorEastAsia" w:hAnsiTheme="minorEastAsia" w:eastAsiaTheme="minorEastAsia" w:cstheme="minorEastAsia"/>
          <w:sz w:val="28"/>
          <w:szCs w:val="28"/>
          <w:u w:val="single"/>
          <w:lang w:val="en-US" w:eastAsia="zh-CN"/>
        </w:rPr>
        <w:t>含税报价（税率    %）：      元（大写：                  ）</w:t>
      </w:r>
      <w:r>
        <w:rPr>
          <w:rFonts w:hint="eastAsia" w:asciiTheme="minorEastAsia" w:hAnsiTheme="minorEastAsia" w:eastAsiaTheme="minorEastAsia" w:cstheme="minorEastAsia"/>
          <w:sz w:val="28"/>
          <w:szCs w:val="28"/>
          <w:u w:val="none"/>
          <w:lang w:val="en-US"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D950DD6">
      <w:pPr>
        <w:rPr>
          <w:rFonts w:hint="eastAsia" w:asciiTheme="minorEastAsia" w:hAnsiTheme="minorEastAsia" w:eastAsiaTheme="minorEastAsia" w:cstheme="minorEastAsia"/>
          <w:sz w:val="28"/>
          <w:szCs w:val="28"/>
          <w:u w:val="single"/>
        </w:rPr>
        <w:sectPr>
          <w:footerReference r:id="rId3" w:type="default"/>
          <w:pgSz w:w="11906" w:h="16838"/>
          <w:pgMar w:top="1440" w:right="1800" w:bottom="1440" w:left="1800" w:header="851" w:footer="992" w:gutter="0"/>
          <w:cols w:space="425" w:num="1"/>
          <w:docGrid w:type="lines" w:linePitch="312" w:charSpace="0"/>
        </w:sectPr>
      </w:pPr>
    </w:p>
    <w:tbl>
      <w:tblPr>
        <w:tblStyle w:val="12"/>
        <w:tblW w:w="14727"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1169"/>
        <w:gridCol w:w="1127"/>
        <w:gridCol w:w="608"/>
        <w:gridCol w:w="905"/>
        <w:gridCol w:w="2306"/>
        <w:gridCol w:w="1434"/>
        <w:gridCol w:w="1205"/>
        <w:gridCol w:w="870"/>
        <w:gridCol w:w="1399"/>
        <w:gridCol w:w="1321"/>
        <w:gridCol w:w="1866"/>
      </w:tblGrid>
      <w:tr w14:paraId="0BD4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4727" w:type="dxa"/>
            <w:gridSpan w:val="12"/>
            <w:vMerge w:val="restart"/>
            <w:tcBorders>
              <w:top w:val="nil"/>
              <w:left w:val="nil"/>
              <w:bottom w:val="nil"/>
              <w:right w:val="nil"/>
            </w:tcBorders>
            <w:shd w:val="clear" w:color="auto" w:fill="auto"/>
            <w:vAlign w:val="center"/>
          </w:tcPr>
          <w:p w14:paraId="7B4746FE">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南泉街道2024年第一批“四好农村路”项目</w:t>
            </w:r>
            <w:r>
              <w:rPr>
                <w:rFonts w:hint="eastAsia" w:ascii="宋体" w:hAnsi="宋体" w:eastAsia="宋体" w:cs="宋体"/>
                <w:i w:val="0"/>
                <w:iCs w:val="0"/>
                <w:color w:val="000000"/>
                <w:kern w:val="0"/>
                <w:sz w:val="52"/>
                <w:szCs w:val="52"/>
                <w:u w:val="none"/>
                <w:lang w:val="en-US" w:eastAsia="zh-CN" w:bidi="ar"/>
              </w:rPr>
              <w:br w:type="textWrapping"/>
            </w:r>
            <w:r>
              <w:rPr>
                <w:rFonts w:hint="eastAsia" w:ascii="宋体" w:hAnsi="宋体" w:eastAsia="宋体" w:cs="宋体"/>
                <w:i w:val="0"/>
                <w:iCs w:val="0"/>
                <w:color w:val="000000"/>
                <w:kern w:val="0"/>
                <w:sz w:val="52"/>
                <w:szCs w:val="52"/>
                <w:u w:val="none"/>
                <w:lang w:val="en-US" w:eastAsia="zh-CN" w:bidi="ar"/>
              </w:rPr>
              <w:t>轻型自卸货车租赁报价</w:t>
            </w:r>
          </w:p>
        </w:tc>
      </w:tr>
      <w:tr w14:paraId="07F4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4727" w:type="dxa"/>
            <w:gridSpan w:val="12"/>
            <w:vMerge w:val="continue"/>
            <w:tcBorders>
              <w:top w:val="nil"/>
              <w:left w:val="nil"/>
              <w:bottom w:val="nil"/>
              <w:right w:val="nil"/>
            </w:tcBorders>
            <w:shd w:val="clear" w:color="auto" w:fill="auto"/>
            <w:vAlign w:val="center"/>
          </w:tcPr>
          <w:p w14:paraId="64BB1CC9">
            <w:pPr>
              <w:jc w:val="center"/>
              <w:rPr>
                <w:rFonts w:hint="eastAsia" w:ascii="宋体" w:hAnsi="宋体" w:eastAsia="宋体" w:cs="宋体"/>
                <w:i w:val="0"/>
                <w:iCs w:val="0"/>
                <w:color w:val="000000"/>
                <w:sz w:val="52"/>
                <w:szCs w:val="52"/>
                <w:u w:val="none"/>
              </w:rPr>
            </w:pPr>
          </w:p>
        </w:tc>
      </w:tr>
      <w:tr w14:paraId="23BE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14727" w:type="dxa"/>
            <w:gridSpan w:val="12"/>
            <w:vMerge w:val="continue"/>
            <w:tcBorders>
              <w:top w:val="nil"/>
              <w:left w:val="nil"/>
              <w:bottom w:val="nil"/>
              <w:right w:val="nil"/>
            </w:tcBorders>
            <w:shd w:val="clear" w:color="auto" w:fill="auto"/>
            <w:vAlign w:val="center"/>
          </w:tcPr>
          <w:p w14:paraId="2B246728">
            <w:pPr>
              <w:jc w:val="center"/>
              <w:rPr>
                <w:rFonts w:hint="eastAsia" w:ascii="宋体" w:hAnsi="宋体" w:eastAsia="宋体" w:cs="宋体"/>
                <w:i w:val="0"/>
                <w:iCs w:val="0"/>
                <w:color w:val="000000"/>
                <w:sz w:val="52"/>
                <w:szCs w:val="52"/>
                <w:u w:val="none"/>
              </w:rPr>
            </w:pPr>
          </w:p>
        </w:tc>
      </w:tr>
      <w:tr w14:paraId="7883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17" w:type="dxa"/>
            <w:vMerge w:val="restart"/>
            <w:tcBorders>
              <w:top w:val="single" w:color="000000" w:sz="4" w:space="0"/>
              <w:left w:val="single" w:color="000000" w:sz="4" w:space="0"/>
              <w:bottom w:val="nil"/>
              <w:right w:val="single" w:color="000000" w:sz="4" w:space="0"/>
            </w:tcBorders>
            <w:shd w:val="clear" w:color="auto" w:fill="auto"/>
            <w:vAlign w:val="center"/>
          </w:tcPr>
          <w:p w14:paraId="6D0CD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9" w:type="dxa"/>
            <w:vMerge w:val="restart"/>
            <w:tcBorders>
              <w:top w:val="single" w:color="000000" w:sz="4" w:space="0"/>
              <w:left w:val="single" w:color="000000" w:sz="4" w:space="0"/>
              <w:bottom w:val="nil"/>
              <w:right w:val="single" w:color="000000" w:sz="4" w:space="0"/>
            </w:tcBorders>
            <w:shd w:val="clear" w:color="auto" w:fill="auto"/>
            <w:vAlign w:val="center"/>
          </w:tcPr>
          <w:p w14:paraId="7BB8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27" w:type="dxa"/>
            <w:vMerge w:val="restart"/>
            <w:tcBorders>
              <w:top w:val="single" w:color="000000" w:sz="4" w:space="0"/>
              <w:left w:val="single" w:color="000000" w:sz="4" w:space="0"/>
              <w:bottom w:val="nil"/>
              <w:right w:val="single" w:color="000000" w:sz="4" w:space="0"/>
            </w:tcBorders>
            <w:shd w:val="clear" w:color="auto" w:fill="auto"/>
            <w:vAlign w:val="center"/>
          </w:tcPr>
          <w:p w14:paraId="5E178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08" w:type="dxa"/>
            <w:vMerge w:val="restart"/>
            <w:tcBorders>
              <w:top w:val="single" w:color="000000" w:sz="4" w:space="0"/>
              <w:left w:val="single" w:color="000000" w:sz="4" w:space="0"/>
              <w:bottom w:val="nil"/>
              <w:right w:val="single" w:color="000000" w:sz="4" w:space="0"/>
            </w:tcBorders>
            <w:shd w:val="clear" w:color="auto" w:fill="auto"/>
            <w:vAlign w:val="center"/>
          </w:tcPr>
          <w:p w14:paraId="225D6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05" w:type="dxa"/>
            <w:vMerge w:val="restart"/>
            <w:tcBorders>
              <w:top w:val="single" w:color="000000" w:sz="4" w:space="0"/>
              <w:left w:val="single" w:color="000000" w:sz="4" w:space="0"/>
              <w:bottom w:val="nil"/>
              <w:right w:val="single" w:color="000000" w:sz="4" w:space="0"/>
            </w:tcBorders>
            <w:shd w:val="clear" w:color="auto" w:fill="auto"/>
            <w:vAlign w:val="center"/>
          </w:tcPr>
          <w:p w14:paraId="6903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89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最高限价（不含税综合单价）（元）</w:t>
            </w:r>
          </w:p>
        </w:tc>
        <w:tc>
          <w:tcPr>
            <w:tcW w:w="1434" w:type="dxa"/>
            <w:vMerge w:val="restart"/>
            <w:tcBorders>
              <w:top w:val="single" w:color="000000" w:sz="4" w:space="0"/>
              <w:left w:val="single" w:color="000000" w:sz="4" w:space="0"/>
              <w:bottom w:val="nil"/>
              <w:right w:val="single" w:color="000000" w:sz="4" w:space="0"/>
            </w:tcBorders>
            <w:shd w:val="clear" w:color="auto" w:fill="auto"/>
            <w:vAlign w:val="center"/>
          </w:tcPr>
          <w:p w14:paraId="463FA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不含税综合单价（元）</w:t>
            </w: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77D6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不含税合价（元）</w:t>
            </w:r>
          </w:p>
        </w:tc>
        <w:tc>
          <w:tcPr>
            <w:tcW w:w="870" w:type="dxa"/>
            <w:vMerge w:val="restart"/>
            <w:tcBorders>
              <w:top w:val="single" w:color="000000" w:sz="4" w:space="0"/>
              <w:left w:val="single" w:color="000000" w:sz="4" w:space="0"/>
              <w:bottom w:val="nil"/>
              <w:right w:val="single" w:color="000000" w:sz="4" w:space="0"/>
            </w:tcBorders>
            <w:shd w:val="clear" w:color="auto" w:fill="auto"/>
            <w:vAlign w:val="center"/>
          </w:tcPr>
          <w:p w14:paraId="20C0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399" w:type="dxa"/>
            <w:vMerge w:val="restart"/>
            <w:tcBorders>
              <w:top w:val="single" w:color="000000" w:sz="4" w:space="0"/>
              <w:left w:val="single" w:color="000000" w:sz="4" w:space="0"/>
              <w:bottom w:val="nil"/>
              <w:right w:val="single" w:color="000000" w:sz="4" w:space="0"/>
            </w:tcBorders>
            <w:shd w:val="clear" w:color="auto" w:fill="auto"/>
            <w:vAlign w:val="center"/>
          </w:tcPr>
          <w:p w14:paraId="71BD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含税综合单价（元）</w:t>
            </w:r>
          </w:p>
        </w:tc>
        <w:tc>
          <w:tcPr>
            <w:tcW w:w="1321" w:type="dxa"/>
            <w:vMerge w:val="restart"/>
            <w:tcBorders>
              <w:top w:val="single" w:color="000000" w:sz="4" w:space="0"/>
              <w:left w:val="single" w:color="000000" w:sz="4" w:space="0"/>
              <w:bottom w:val="nil"/>
              <w:right w:val="single" w:color="000000" w:sz="4" w:space="0"/>
            </w:tcBorders>
            <w:shd w:val="clear" w:color="auto" w:fill="auto"/>
            <w:vAlign w:val="center"/>
          </w:tcPr>
          <w:p w14:paraId="08DAC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1866" w:type="dxa"/>
            <w:vMerge w:val="restart"/>
            <w:tcBorders>
              <w:top w:val="single" w:color="000000" w:sz="4" w:space="0"/>
              <w:left w:val="single" w:color="000000" w:sz="4" w:space="0"/>
              <w:bottom w:val="nil"/>
              <w:right w:val="single" w:color="000000" w:sz="4" w:space="0"/>
            </w:tcBorders>
            <w:shd w:val="clear" w:color="auto" w:fill="auto"/>
            <w:vAlign w:val="center"/>
          </w:tcPr>
          <w:p w14:paraId="7BFDE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D6A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11FC7C63">
            <w:pPr>
              <w:jc w:val="center"/>
              <w:rPr>
                <w:rFonts w:hint="eastAsia" w:ascii="宋体" w:hAnsi="宋体" w:eastAsia="宋体" w:cs="宋体"/>
                <w:i w:val="0"/>
                <w:iCs w:val="0"/>
                <w:color w:val="000000"/>
                <w:sz w:val="20"/>
                <w:szCs w:val="20"/>
                <w:u w:val="none"/>
              </w:rPr>
            </w:pPr>
          </w:p>
        </w:tc>
        <w:tc>
          <w:tcPr>
            <w:tcW w:w="1169" w:type="dxa"/>
            <w:vMerge w:val="continue"/>
            <w:tcBorders>
              <w:top w:val="single" w:color="000000" w:sz="4" w:space="0"/>
              <w:left w:val="single" w:color="000000" w:sz="4" w:space="0"/>
              <w:bottom w:val="nil"/>
              <w:right w:val="single" w:color="000000" w:sz="4" w:space="0"/>
            </w:tcBorders>
            <w:shd w:val="clear" w:color="auto" w:fill="auto"/>
            <w:vAlign w:val="center"/>
          </w:tcPr>
          <w:p w14:paraId="29E4EEA7">
            <w:pPr>
              <w:jc w:val="center"/>
              <w:rPr>
                <w:rFonts w:hint="eastAsia" w:ascii="宋体" w:hAnsi="宋体" w:eastAsia="宋体" w:cs="宋体"/>
                <w:i w:val="0"/>
                <w:iCs w:val="0"/>
                <w:color w:val="000000"/>
                <w:sz w:val="20"/>
                <w:szCs w:val="20"/>
                <w:u w:val="none"/>
              </w:rPr>
            </w:pPr>
          </w:p>
        </w:tc>
        <w:tc>
          <w:tcPr>
            <w:tcW w:w="1127" w:type="dxa"/>
            <w:vMerge w:val="continue"/>
            <w:tcBorders>
              <w:top w:val="single" w:color="000000" w:sz="4" w:space="0"/>
              <w:left w:val="single" w:color="000000" w:sz="4" w:space="0"/>
              <w:bottom w:val="nil"/>
              <w:right w:val="single" w:color="000000" w:sz="4" w:space="0"/>
            </w:tcBorders>
            <w:shd w:val="clear" w:color="auto" w:fill="auto"/>
            <w:vAlign w:val="center"/>
          </w:tcPr>
          <w:p w14:paraId="1A342FA5">
            <w:pPr>
              <w:jc w:val="center"/>
              <w:rPr>
                <w:rFonts w:hint="eastAsia" w:ascii="宋体" w:hAnsi="宋体" w:eastAsia="宋体" w:cs="宋体"/>
                <w:i w:val="0"/>
                <w:iCs w:val="0"/>
                <w:color w:val="000000"/>
                <w:sz w:val="20"/>
                <w:szCs w:val="20"/>
                <w:u w:val="none"/>
              </w:rPr>
            </w:pPr>
          </w:p>
        </w:tc>
        <w:tc>
          <w:tcPr>
            <w:tcW w:w="608" w:type="dxa"/>
            <w:vMerge w:val="continue"/>
            <w:tcBorders>
              <w:top w:val="single" w:color="000000" w:sz="4" w:space="0"/>
              <w:left w:val="single" w:color="000000" w:sz="4" w:space="0"/>
              <w:bottom w:val="nil"/>
              <w:right w:val="single" w:color="000000" w:sz="4" w:space="0"/>
            </w:tcBorders>
            <w:shd w:val="clear" w:color="auto" w:fill="auto"/>
            <w:vAlign w:val="center"/>
          </w:tcPr>
          <w:p w14:paraId="0BA5290E">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nil"/>
              <w:right w:val="single" w:color="000000" w:sz="4" w:space="0"/>
            </w:tcBorders>
            <w:shd w:val="clear" w:color="auto" w:fill="auto"/>
            <w:vAlign w:val="center"/>
          </w:tcPr>
          <w:p w14:paraId="56C6FC64">
            <w:pPr>
              <w:jc w:val="center"/>
              <w:rPr>
                <w:rFonts w:hint="eastAsia" w:ascii="宋体" w:hAnsi="宋体" w:eastAsia="宋体" w:cs="宋体"/>
                <w:i w:val="0"/>
                <w:iCs w:val="0"/>
                <w:color w:val="000000"/>
                <w:sz w:val="20"/>
                <w:szCs w:val="20"/>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6F64">
            <w:pPr>
              <w:jc w:val="center"/>
              <w:rPr>
                <w:rFonts w:hint="eastAsia" w:ascii="宋体" w:hAnsi="宋体" w:eastAsia="宋体" w:cs="宋体"/>
                <w:i w:val="0"/>
                <w:iCs w:val="0"/>
                <w:color w:val="000000"/>
                <w:sz w:val="20"/>
                <w:szCs w:val="20"/>
                <w:u w:val="none"/>
              </w:rPr>
            </w:pPr>
          </w:p>
        </w:tc>
        <w:tc>
          <w:tcPr>
            <w:tcW w:w="1434" w:type="dxa"/>
            <w:vMerge w:val="continue"/>
            <w:tcBorders>
              <w:top w:val="single" w:color="000000" w:sz="4" w:space="0"/>
              <w:left w:val="single" w:color="000000" w:sz="4" w:space="0"/>
              <w:bottom w:val="nil"/>
              <w:right w:val="single" w:color="000000" w:sz="4" w:space="0"/>
            </w:tcBorders>
            <w:shd w:val="clear" w:color="auto" w:fill="auto"/>
            <w:vAlign w:val="center"/>
          </w:tcPr>
          <w:p w14:paraId="1F244124">
            <w:pPr>
              <w:jc w:val="center"/>
              <w:rPr>
                <w:rFonts w:hint="eastAsia" w:ascii="宋体" w:hAnsi="宋体" w:eastAsia="宋体" w:cs="宋体"/>
                <w:i w:val="0"/>
                <w:iCs w:val="0"/>
                <w:color w:val="000000"/>
                <w:sz w:val="20"/>
                <w:szCs w:val="20"/>
                <w:u w:val="none"/>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037407FE">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33785492">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nil"/>
              <w:right w:val="single" w:color="000000" w:sz="4" w:space="0"/>
            </w:tcBorders>
            <w:shd w:val="clear" w:color="auto" w:fill="auto"/>
            <w:vAlign w:val="center"/>
          </w:tcPr>
          <w:p w14:paraId="707A540B">
            <w:pPr>
              <w:jc w:val="center"/>
              <w:rPr>
                <w:rFonts w:hint="eastAsia" w:ascii="宋体" w:hAnsi="宋体" w:eastAsia="宋体" w:cs="宋体"/>
                <w:i w:val="0"/>
                <w:iCs w:val="0"/>
                <w:color w:val="000000"/>
                <w:sz w:val="20"/>
                <w:szCs w:val="20"/>
                <w:u w:val="none"/>
              </w:rPr>
            </w:pPr>
          </w:p>
        </w:tc>
        <w:tc>
          <w:tcPr>
            <w:tcW w:w="1321" w:type="dxa"/>
            <w:vMerge w:val="continue"/>
            <w:tcBorders>
              <w:top w:val="single" w:color="000000" w:sz="4" w:space="0"/>
              <w:left w:val="single" w:color="000000" w:sz="4" w:space="0"/>
              <w:bottom w:val="nil"/>
              <w:right w:val="single" w:color="000000" w:sz="4" w:space="0"/>
            </w:tcBorders>
            <w:shd w:val="clear" w:color="auto" w:fill="auto"/>
            <w:vAlign w:val="center"/>
          </w:tcPr>
          <w:p w14:paraId="2E0601A7">
            <w:pPr>
              <w:jc w:val="center"/>
              <w:rPr>
                <w:rFonts w:hint="eastAsia" w:ascii="宋体" w:hAnsi="宋体" w:eastAsia="宋体" w:cs="宋体"/>
                <w:i w:val="0"/>
                <w:iCs w:val="0"/>
                <w:color w:val="000000"/>
                <w:sz w:val="20"/>
                <w:szCs w:val="20"/>
                <w:u w:val="none"/>
              </w:rPr>
            </w:pPr>
          </w:p>
        </w:tc>
        <w:tc>
          <w:tcPr>
            <w:tcW w:w="1866" w:type="dxa"/>
            <w:vMerge w:val="continue"/>
            <w:tcBorders>
              <w:top w:val="single" w:color="000000" w:sz="4" w:space="0"/>
              <w:left w:val="single" w:color="000000" w:sz="4" w:space="0"/>
              <w:bottom w:val="nil"/>
              <w:right w:val="single" w:color="000000" w:sz="4" w:space="0"/>
            </w:tcBorders>
            <w:shd w:val="clear" w:color="auto" w:fill="auto"/>
            <w:vAlign w:val="center"/>
          </w:tcPr>
          <w:p w14:paraId="1B5D9DD2">
            <w:pPr>
              <w:jc w:val="center"/>
              <w:rPr>
                <w:rFonts w:hint="eastAsia" w:ascii="宋体" w:hAnsi="宋体" w:eastAsia="宋体" w:cs="宋体"/>
                <w:i w:val="0"/>
                <w:iCs w:val="0"/>
                <w:color w:val="000000"/>
                <w:sz w:val="20"/>
                <w:szCs w:val="20"/>
                <w:u w:val="none"/>
              </w:rPr>
            </w:pPr>
          </w:p>
        </w:tc>
      </w:tr>
      <w:tr w14:paraId="2EF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6BC5CB5C">
            <w:pPr>
              <w:jc w:val="center"/>
              <w:rPr>
                <w:rFonts w:hint="eastAsia" w:ascii="宋体" w:hAnsi="宋体" w:eastAsia="宋体" w:cs="宋体"/>
                <w:i w:val="0"/>
                <w:iCs w:val="0"/>
                <w:color w:val="000000"/>
                <w:sz w:val="20"/>
                <w:szCs w:val="20"/>
                <w:u w:val="none"/>
              </w:rPr>
            </w:pPr>
          </w:p>
        </w:tc>
        <w:tc>
          <w:tcPr>
            <w:tcW w:w="1169" w:type="dxa"/>
            <w:vMerge w:val="continue"/>
            <w:tcBorders>
              <w:top w:val="single" w:color="000000" w:sz="4" w:space="0"/>
              <w:left w:val="single" w:color="000000" w:sz="4" w:space="0"/>
              <w:bottom w:val="nil"/>
              <w:right w:val="single" w:color="000000" w:sz="4" w:space="0"/>
            </w:tcBorders>
            <w:shd w:val="clear" w:color="auto" w:fill="auto"/>
            <w:vAlign w:val="center"/>
          </w:tcPr>
          <w:p w14:paraId="50E50856">
            <w:pPr>
              <w:jc w:val="center"/>
              <w:rPr>
                <w:rFonts w:hint="eastAsia" w:ascii="宋体" w:hAnsi="宋体" w:eastAsia="宋体" w:cs="宋体"/>
                <w:i w:val="0"/>
                <w:iCs w:val="0"/>
                <w:color w:val="000000"/>
                <w:sz w:val="20"/>
                <w:szCs w:val="20"/>
                <w:u w:val="none"/>
              </w:rPr>
            </w:pPr>
          </w:p>
        </w:tc>
        <w:tc>
          <w:tcPr>
            <w:tcW w:w="1127" w:type="dxa"/>
            <w:vMerge w:val="continue"/>
            <w:tcBorders>
              <w:top w:val="single" w:color="000000" w:sz="4" w:space="0"/>
              <w:left w:val="single" w:color="000000" w:sz="4" w:space="0"/>
              <w:bottom w:val="nil"/>
              <w:right w:val="single" w:color="000000" w:sz="4" w:space="0"/>
            </w:tcBorders>
            <w:shd w:val="clear" w:color="auto" w:fill="auto"/>
            <w:vAlign w:val="center"/>
          </w:tcPr>
          <w:p w14:paraId="6312A0A4">
            <w:pPr>
              <w:jc w:val="center"/>
              <w:rPr>
                <w:rFonts w:hint="eastAsia" w:ascii="宋体" w:hAnsi="宋体" w:eastAsia="宋体" w:cs="宋体"/>
                <w:i w:val="0"/>
                <w:iCs w:val="0"/>
                <w:color w:val="000000"/>
                <w:sz w:val="20"/>
                <w:szCs w:val="20"/>
                <w:u w:val="none"/>
              </w:rPr>
            </w:pPr>
          </w:p>
        </w:tc>
        <w:tc>
          <w:tcPr>
            <w:tcW w:w="608" w:type="dxa"/>
            <w:vMerge w:val="continue"/>
            <w:tcBorders>
              <w:top w:val="single" w:color="000000" w:sz="4" w:space="0"/>
              <w:left w:val="single" w:color="000000" w:sz="4" w:space="0"/>
              <w:bottom w:val="nil"/>
              <w:right w:val="single" w:color="000000" w:sz="4" w:space="0"/>
            </w:tcBorders>
            <w:shd w:val="clear" w:color="auto" w:fill="auto"/>
            <w:vAlign w:val="center"/>
          </w:tcPr>
          <w:p w14:paraId="6F35E787">
            <w:pPr>
              <w:jc w:val="center"/>
              <w:rPr>
                <w:rFonts w:hint="eastAsia" w:ascii="宋体" w:hAnsi="宋体" w:eastAsia="宋体" w:cs="宋体"/>
                <w:i w:val="0"/>
                <w:iCs w:val="0"/>
                <w:color w:val="000000"/>
                <w:sz w:val="20"/>
                <w:szCs w:val="20"/>
                <w:u w:val="none"/>
              </w:rPr>
            </w:pPr>
          </w:p>
        </w:tc>
        <w:tc>
          <w:tcPr>
            <w:tcW w:w="905" w:type="dxa"/>
            <w:vMerge w:val="continue"/>
            <w:tcBorders>
              <w:top w:val="single" w:color="000000" w:sz="4" w:space="0"/>
              <w:left w:val="single" w:color="000000" w:sz="4" w:space="0"/>
              <w:bottom w:val="nil"/>
              <w:right w:val="single" w:color="000000" w:sz="4" w:space="0"/>
            </w:tcBorders>
            <w:shd w:val="clear" w:color="auto" w:fill="auto"/>
            <w:vAlign w:val="center"/>
          </w:tcPr>
          <w:p w14:paraId="6900395C">
            <w:pPr>
              <w:jc w:val="center"/>
              <w:rPr>
                <w:rFonts w:hint="eastAsia" w:ascii="宋体" w:hAnsi="宋体" w:eastAsia="宋体" w:cs="宋体"/>
                <w:i w:val="0"/>
                <w:iCs w:val="0"/>
                <w:color w:val="000000"/>
                <w:sz w:val="20"/>
                <w:szCs w:val="20"/>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96B8">
            <w:pPr>
              <w:jc w:val="center"/>
              <w:rPr>
                <w:rFonts w:hint="eastAsia" w:ascii="宋体" w:hAnsi="宋体" w:eastAsia="宋体" w:cs="宋体"/>
                <w:i w:val="0"/>
                <w:iCs w:val="0"/>
                <w:color w:val="000000"/>
                <w:sz w:val="20"/>
                <w:szCs w:val="20"/>
                <w:u w:val="none"/>
              </w:rPr>
            </w:pPr>
          </w:p>
        </w:tc>
        <w:tc>
          <w:tcPr>
            <w:tcW w:w="1434" w:type="dxa"/>
            <w:vMerge w:val="continue"/>
            <w:tcBorders>
              <w:top w:val="single" w:color="000000" w:sz="4" w:space="0"/>
              <w:left w:val="single" w:color="000000" w:sz="4" w:space="0"/>
              <w:bottom w:val="nil"/>
              <w:right w:val="single" w:color="000000" w:sz="4" w:space="0"/>
            </w:tcBorders>
            <w:shd w:val="clear" w:color="auto" w:fill="auto"/>
            <w:vAlign w:val="center"/>
          </w:tcPr>
          <w:p w14:paraId="47680F43">
            <w:pPr>
              <w:jc w:val="center"/>
              <w:rPr>
                <w:rFonts w:hint="eastAsia" w:ascii="宋体" w:hAnsi="宋体" w:eastAsia="宋体" w:cs="宋体"/>
                <w:i w:val="0"/>
                <w:iCs w:val="0"/>
                <w:color w:val="000000"/>
                <w:sz w:val="20"/>
                <w:szCs w:val="20"/>
                <w:u w:val="none"/>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6B2734A5">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7DB2956D">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nil"/>
              <w:right w:val="single" w:color="000000" w:sz="4" w:space="0"/>
            </w:tcBorders>
            <w:shd w:val="clear" w:color="auto" w:fill="auto"/>
            <w:vAlign w:val="center"/>
          </w:tcPr>
          <w:p w14:paraId="7B20958E">
            <w:pPr>
              <w:jc w:val="center"/>
              <w:rPr>
                <w:rFonts w:hint="eastAsia" w:ascii="宋体" w:hAnsi="宋体" w:eastAsia="宋体" w:cs="宋体"/>
                <w:i w:val="0"/>
                <w:iCs w:val="0"/>
                <w:color w:val="000000"/>
                <w:sz w:val="20"/>
                <w:szCs w:val="20"/>
                <w:u w:val="none"/>
              </w:rPr>
            </w:pPr>
          </w:p>
        </w:tc>
        <w:tc>
          <w:tcPr>
            <w:tcW w:w="1321" w:type="dxa"/>
            <w:vMerge w:val="continue"/>
            <w:tcBorders>
              <w:top w:val="single" w:color="000000" w:sz="4" w:space="0"/>
              <w:left w:val="single" w:color="000000" w:sz="4" w:space="0"/>
              <w:bottom w:val="nil"/>
              <w:right w:val="single" w:color="000000" w:sz="4" w:space="0"/>
            </w:tcBorders>
            <w:shd w:val="clear" w:color="auto" w:fill="auto"/>
            <w:vAlign w:val="center"/>
          </w:tcPr>
          <w:p w14:paraId="050F3FA7">
            <w:pPr>
              <w:jc w:val="center"/>
              <w:rPr>
                <w:rFonts w:hint="eastAsia" w:ascii="宋体" w:hAnsi="宋体" w:eastAsia="宋体" w:cs="宋体"/>
                <w:i w:val="0"/>
                <w:iCs w:val="0"/>
                <w:color w:val="000000"/>
                <w:sz w:val="20"/>
                <w:szCs w:val="20"/>
                <w:u w:val="none"/>
              </w:rPr>
            </w:pPr>
          </w:p>
        </w:tc>
        <w:tc>
          <w:tcPr>
            <w:tcW w:w="1866" w:type="dxa"/>
            <w:vMerge w:val="continue"/>
            <w:tcBorders>
              <w:top w:val="single" w:color="000000" w:sz="4" w:space="0"/>
              <w:left w:val="single" w:color="000000" w:sz="4" w:space="0"/>
              <w:bottom w:val="nil"/>
              <w:right w:val="single" w:color="000000" w:sz="4" w:space="0"/>
            </w:tcBorders>
            <w:shd w:val="clear" w:color="auto" w:fill="auto"/>
            <w:vAlign w:val="center"/>
          </w:tcPr>
          <w:p w14:paraId="4468C516">
            <w:pPr>
              <w:jc w:val="center"/>
              <w:rPr>
                <w:rFonts w:hint="eastAsia" w:ascii="宋体" w:hAnsi="宋体" w:eastAsia="宋体" w:cs="宋体"/>
                <w:i w:val="0"/>
                <w:iCs w:val="0"/>
                <w:color w:val="000000"/>
                <w:sz w:val="20"/>
                <w:szCs w:val="20"/>
                <w:u w:val="none"/>
              </w:rPr>
            </w:pPr>
          </w:p>
        </w:tc>
      </w:tr>
      <w:tr w14:paraId="484D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轻型自卸货车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载重1吨</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A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776.70 </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3EE4">
            <w:pPr>
              <w:jc w:val="cente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424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6DE9">
            <w:pPr>
              <w:jc w:val="center"/>
              <w:rPr>
                <w:rFonts w:hint="eastAsia" w:ascii="宋体" w:hAnsi="宋体" w:eastAsia="宋体" w:cs="宋体"/>
                <w:i w:val="0"/>
                <w:iCs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1427">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325">
            <w:pPr>
              <w:jc w:val="center"/>
              <w:rPr>
                <w:rFonts w:hint="eastAsia" w:ascii="宋体" w:hAnsi="宋体" w:eastAsia="宋体" w:cs="宋体"/>
                <w:i w:val="0"/>
                <w:iCs w:val="0"/>
                <w:color w:val="000000"/>
                <w:sz w:val="18"/>
                <w:szCs w:val="18"/>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A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包含租赁期间的燃油、操作工、机械维修、保养等完成工作内容的所有费用。</w:t>
            </w:r>
          </w:p>
        </w:tc>
      </w:tr>
      <w:tr w14:paraId="759A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AA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C7A">
            <w:pPr>
              <w:jc w:val="center"/>
              <w:rPr>
                <w:rFonts w:hint="eastAsia" w:ascii="宋体" w:hAnsi="宋体" w:eastAsia="宋体" w:cs="宋体"/>
                <w:i w:val="0"/>
                <w:iCs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8CA4">
            <w:pPr>
              <w:jc w:val="center"/>
              <w:rPr>
                <w:rFonts w:hint="eastAsia" w:ascii="宋体" w:hAnsi="宋体" w:eastAsia="宋体" w:cs="宋体"/>
                <w:i w:val="0"/>
                <w:iCs w:val="0"/>
                <w:color w:val="000000"/>
                <w:sz w:val="20"/>
                <w:szCs w:val="20"/>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F677">
            <w:pPr>
              <w:jc w:val="center"/>
              <w:rPr>
                <w:rFonts w:hint="eastAsia" w:ascii="宋体" w:hAnsi="宋体" w:eastAsia="宋体" w:cs="宋体"/>
                <w:i w:val="0"/>
                <w:iCs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8543">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4DDA">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B6D">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3B6">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B0C">
            <w:pPr>
              <w:jc w:val="center"/>
              <w:rPr>
                <w:rFonts w:hint="eastAsia" w:ascii="宋体" w:hAnsi="宋体" w:eastAsia="宋体" w:cs="宋体"/>
                <w:i w:val="0"/>
                <w:iCs w:val="0"/>
                <w:color w:val="000000"/>
                <w:sz w:val="20"/>
                <w:szCs w:val="20"/>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F0C">
            <w:pPr>
              <w:jc w:val="center"/>
              <w:rPr>
                <w:rFonts w:hint="eastAsia" w:ascii="宋体" w:hAnsi="宋体" w:eastAsia="宋体" w:cs="宋体"/>
                <w:i w:val="0"/>
                <w:iCs w:val="0"/>
                <w:color w:val="000000"/>
                <w:sz w:val="20"/>
                <w:szCs w:val="20"/>
                <w:u w:val="none"/>
              </w:rPr>
            </w:pPr>
          </w:p>
        </w:tc>
      </w:tr>
      <w:tr w14:paraId="39F9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472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5E8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付款方式：项目完工且结算办理完成后，一个月内付清全款。</w:t>
            </w:r>
          </w:p>
        </w:tc>
      </w:tr>
    </w:tbl>
    <w:p w14:paraId="09458409">
      <w:pPr>
        <w:rPr>
          <w:rFonts w:hint="eastAsia" w:asciiTheme="minorEastAsia" w:hAnsiTheme="minorEastAsia" w:eastAsiaTheme="minorEastAsia" w:cstheme="minorEastAsia"/>
          <w:sz w:val="28"/>
          <w:szCs w:val="28"/>
          <w:u w:val="single"/>
        </w:rPr>
        <w:sectPr>
          <w:pgSz w:w="16838" w:h="11906" w:orient="landscape"/>
          <w:pgMar w:top="1800" w:right="1440" w:bottom="1800" w:left="1440" w:header="851" w:footer="992" w:gutter="0"/>
          <w:cols w:space="425" w:num="1"/>
          <w:docGrid w:type="lines" w:linePitch="312" w:charSpace="0"/>
        </w:sectPr>
      </w:pPr>
    </w:p>
    <w:p w14:paraId="799C0F99">
      <w:pPr>
        <w:numPr>
          <w:ilvl w:val="0"/>
          <w:numId w:val="3"/>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bookmarkStart w:id="6" w:name="_Toc16568"/>
      <w:bookmarkEnd w:id="6"/>
      <w:bookmarkStart w:id="7" w:name="_Toc369531696"/>
      <w:bookmarkEnd w:id="7"/>
      <w:bookmarkStart w:id="8" w:name="_Toc352691660"/>
      <w:bookmarkEnd w:id="8"/>
      <w:bookmarkStart w:id="9" w:name="_Toc369531695"/>
      <w:bookmarkEnd w:id="9"/>
      <w:bookmarkStart w:id="10" w:name="_Toc16824"/>
      <w:bookmarkEnd w:id="10"/>
      <w:bookmarkStart w:id="11" w:name="_Toc352691659"/>
      <w:bookmarkEnd w:id="11"/>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三</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28"/>
          <w:szCs w:val="28"/>
          <w:highlight w:val="none"/>
          <w:lang w:val="en-US" w:eastAsia="zh-CN" w:bidi="ar-SA"/>
        </w:rPr>
      </w:pPr>
    </w:p>
    <w:p w14:paraId="0B42C9C5">
      <w:pPr>
        <w:jc w:val="center"/>
        <w:rPr>
          <w:rFonts w:hint="eastAsia"/>
          <w:sz w:val="44"/>
          <w:szCs w:val="44"/>
        </w:rPr>
      </w:pPr>
      <w:r>
        <w:rPr>
          <w:rFonts w:hint="eastAsia"/>
          <w:sz w:val="44"/>
          <w:szCs w:val="44"/>
        </w:rPr>
        <w:t>运输服务合同</w:t>
      </w:r>
    </w:p>
    <w:p w14:paraId="2BFDDC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 </w:t>
      </w:r>
    </w:p>
    <w:p w14:paraId="7BBD2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甲方（托运方）：重庆市巴南建设（集团）有限公司</w:t>
      </w:r>
    </w:p>
    <w:p w14:paraId="4E2BAF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法定代表人/负责人：________________</w:t>
      </w:r>
    </w:p>
    <w:p w14:paraId="7C8FB5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地址：重庆市巴南区南彭公路物流基地环道东路6号</w:t>
      </w:r>
    </w:p>
    <w:p w14:paraId="38F7FC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联系方式：________________</w:t>
      </w:r>
    </w:p>
    <w:p w14:paraId="0F1DCB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纳税人识别号：91500113203436859R</w:t>
      </w:r>
    </w:p>
    <w:p w14:paraId="17B63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 </w:t>
      </w:r>
    </w:p>
    <w:p w14:paraId="04919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乙方（承运方）：________________</w:t>
      </w:r>
    </w:p>
    <w:p w14:paraId="1CDB79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法定代表人/负责人：________________</w:t>
      </w:r>
    </w:p>
    <w:p w14:paraId="63E58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地址：________________</w:t>
      </w:r>
    </w:p>
    <w:p w14:paraId="7452A8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联系方式：________________</w:t>
      </w:r>
    </w:p>
    <w:p w14:paraId="4D392A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统一社会信用代码：________________</w:t>
      </w:r>
    </w:p>
    <w:p w14:paraId="175B2D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 </w:t>
      </w:r>
    </w:p>
    <w:p w14:paraId="2E49DF23">
      <w:pPr>
        <w:ind w:firstLine="560" w:firstLineChars="200"/>
        <w:rPr>
          <w:rFonts w:hint="eastAsia"/>
          <w:sz w:val="28"/>
          <w:szCs w:val="28"/>
        </w:rPr>
      </w:pPr>
      <w:r>
        <w:rPr>
          <w:rFonts w:hint="eastAsia"/>
          <w:sz w:val="28"/>
          <w:szCs w:val="28"/>
        </w:rPr>
        <w:t>根据《中华人民共和国民法典》及相关法律法规，甲乙双方经平等协商，就货物运输服务事宜达成如下协议：</w:t>
      </w:r>
    </w:p>
    <w:p w14:paraId="7BD21E8E">
      <w:pPr>
        <w:rPr>
          <w:rFonts w:hint="eastAsia"/>
          <w:sz w:val="28"/>
          <w:szCs w:val="28"/>
        </w:rPr>
      </w:pPr>
      <w:r>
        <w:rPr>
          <w:rFonts w:hint="eastAsia"/>
          <w:sz w:val="28"/>
          <w:szCs w:val="28"/>
        </w:rPr>
        <w:t>第一条 服务内容</w:t>
      </w:r>
    </w:p>
    <w:p w14:paraId="2755B74D">
      <w:pPr>
        <w:rPr>
          <w:rFonts w:hint="eastAsia"/>
          <w:sz w:val="28"/>
          <w:szCs w:val="28"/>
        </w:rPr>
      </w:pPr>
      <w:r>
        <w:rPr>
          <w:rFonts w:hint="eastAsia"/>
          <w:sz w:val="28"/>
          <w:szCs w:val="28"/>
        </w:rPr>
        <w:t>1.1 甲方委托乙方提供货物运输服务，具体运输货物名称、规格、数量、起运地、目的地、运输时间等以双方签字确认的《运输任务确认单》为准。</w:t>
      </w:r>
    </w:p>
    <w:p w14:paraId="2A8C2352">
      <w:pPr>
        <w:rPr>
          <w:rFonts w:hint="eastAsia"/>
          <w:sz w:val="28"/>
          <w:szCs w:val="28"/>
        </w:rPr>
      </w:pPr>
      <w:r>
        <w:rPr>
          <w:rFonts w:hint="eastAsia"/>
          <w:sz w:val="28"/>
          <w:szCs w:val="28"/>
        </w:rPr>
        <w:t>1.2 乙方须根据货物特性、运输要求，配备符合国家标准的运输车辆、设备及专业驾驶员，确保货物安全、准时送达指定地点。</w:t>
      </w:r>
    </w:p>
    <w:p w14:paraId="40F6510D">
      <w:pPr>
        <w:rPr>
          <w:rFonts w:hint="eastAsia"/>
          <w:sz w:val="28"/>
          <w:szCs w:val="28"/>
        </w:rPr>
      </w:pPr>
      <w:r>
        <w:rPr>
          <w:rFonts w:hint="eastAsia"/>
          <w:sz w:val="28"/>
          <w:szCs w:val="28"/>
        </w:rPr>
        <w:t>1.3 运输途中，乙方应采取必要措施保障货物完好，防止货物受潮、受损、遗失或污染。</w:t>
      </w:r>
    </w:p>
    <w:p w14:paraId="593D66C2">
      <w:pPr>
        <w:rPr>
          <w:rFonts w:hint="eastAsia"/>
          <w:sz w:val="28"/>
          <w:szCs w:val="28"/>
        </w:rPr>
      </w:pPr>
      <w:r>
        <w:rPr>
          <w:rFonts w:hint="eastAsia"/>
          <w:sz w:val="28"/>
          <w:szCs w:val="28"/>
        </w:rPr>
        <w:t>第二条 计费方式</w:t>
      </w:r>
    </w:p>
    <w:p w14:paraId="23220C65">
      <w:pPr>
        <w:rPr>
          <w:rFonts w:hint="eastAsia"/>
          <w:sz w:val="28"/>
          <w:szCs w:val="28"/>
        </w:rPr>
      </w:pPr>
      <w:r>
        <w:rPr>
          <w:rFonts w:hint="eastAsia"/>
          <w:sz w:val="28"/>
          <w:szCs w:val="28"/>
        </w:rPr>
        <w:t>2.1 运输费用按台班计算，每个台班工作时长为8小时，</w:t>
      </w:r>
      <w:r>
        <w:rPr>
          <w:rFonts w:hint="eastAsia"/>
          <w:sz w:val="28"/>
          <w:szCs w:val="28"/>
          <w:lang w:eastAsia="zh-CN"/>
        </w:rPr>
        <w:t>含税</w:t>
      </w:r>
      <w:r>
        <w:rPr>
          <w:rFonts w:hint="eastAsia"/>
          <w:sz w:val="28"/>
          <w:szCs w:val="28"/>
        </w:rPr>
        <w:t>单价为人民币 ____元/台班（大写：________________）；若单次运输不足1个台班，按实际使用时长折算费用（每小时费用 = 单个台班费用÷8）。</w:t>
      </w:r>
    </w:p>
    <w:p w14:paraId="537F343D">
      <w:pPr>
        <w:rPr>
          <w:rFonts w:hint="eastAsia"/>
          <w:sz w:val="28"/>
          <w:szCs w:val="28"/>
        </w:rPr>
      </w:pPr>
      <w:r>
        <w:rPr>
          <w:rFonts w:hint="eastAsia"/>
          <w:sz w:val="28"/>
          <w:szCs w:val="28"/>
        </w:rPr>
        <w:t>2.2 实际运输台班数以甲方现场代表签字确认的《运输作业记录单》为准。因甲方原因导致单次运输超出1个台班时长的，超出部分按上述标准结算。</w:t>
      </w:r>
    </w:p>
    <w:p w14:paraId="75E5902D">
      <w:pPr>
        <w:rPr>
          <w:rFonts w:hint="eastAsia"/>
          <w:sz w:val="28"/>
          <w:szCs w:val="28"/>
        </w:rPr>
      </w:pPr>
      <w:r>
        <w:rPr>
          <w:rFonts w:hint="eastAsia"/>
          <w:sz w:val="28"/>
          <w:szCs w:val="28"/>
          <w:lang w:val="en-US" w:eastAsia="zh-CN"/>
        </w:rPr>
        <w:t>2.3 上述台班单价包含租赁期间的燃油、操作工、机械维修、保养等完成工作内容的所有费用，运输期间自身及第三人人身及财产安全由乙方负责。乙方不得以任何理由向甲方主张其他任何费用。</w:t>
      </w:r>
    </w:p>
    <w:p w14:paraId="16D6A73E">
      <w:pPr>
        <w:rPr>
          <w:rFonts w:hint="eastAsia"/>
          <w:sz w:val="28"/>
          <w:szCs w:val="28"/>
        </w:rPr>
      </w:pPr>
      <w:r>
        <w:rPr>
          <w:rFonts w:hint="eastAsia"/>
          <w:sz w:val="28"/>
          <w:szCs w:val="28"/>
        </w:rPr>
        <w:t>第三条 结算与付款方式</w:t>
      </w:r>
    </w:p>
    <w:p w14:paraId="2E10FCCA">
      <w:pPr>
        <w:rPr>
          <w:rFonts w:hint="eastAsia"/>
          <w:sz w:val="28"/>
          <w:szCs w:val="28"/>
          <w:u w:val="none"/>
          <w:lang w:val="en-US" w:eastAsia="zh-CN"/>
        </w:rPr>
      </w:pPr>
      <w:r>
        <w:rPr>
          <w:rFonts w:hint="eastAsia"/>
          <w:sz w:val="28"/>
          <w:szCs w:val="28"/>
        </w:rPr>
        <w:t>3.1 结算周期：双方按月结算，乙方</w:t>
      </w:r>
      <w:r>
        <w:rPr>
          <w:rFonts w:hint="eastAsia"/>
          <w:sz w:val="28"/>
          <w:szCs w:val="28"/>
          <w:lang w:val="en-US" w:eastAsia="zh-CN"/>
        </w:rPr>
        <w:t>按甲方指令完成运输任务后10个工作日内向甲方</w:t>
      </w:r>
      <w:r>
        <w:rPr>
          <w:rFonts w:hint="eastAsia"/>
          <w:sz w:val="28"/>
          <w:szCs w:val="28"/>
        </w:rPr>
        <w:t>提交《运输作业记录单》及费用明细，经甲方</w:t>
      </w:r>
      <w:r>
        <w:rPr>
          <w:rFonts w:hint="eastAsia"/>
          <w:sz w:val="28"/>
          <w:szCs w:val="28"/>
          <w:lang w:val="en-US" w:eastAsia="zh-CN"/>
        </w:rPr>
        <w:t>指定人员</w:t>
      </w:r>
      <w:r>
        <w:rPr>
          <w:rFonts w:hint="eastAsia"/>
          <w:sz w:val="28"/>
          <w:szCs w:val="28"/>
          <w:u w:val="single"/>
          <w:lang w:val="en-US" w:eastAsia="zh-CN"/>
        </w:rPr>
        <w:t xml:space="preserve">     ；</w:t>
      </w:r>
      <w:r>
        <w:rPr>
          <w:rFonts w:hint="eastAsia"/>
          <w:sz w:val="28"/>
          <w:szCs w:val="28"/>
          <w:u w:val="none"/>
          <w:lang w:val="en-US" w:eastAsia="zh-CN"/>
        </w:rPr>
        <w:t>联系电话：</w:t>
      </w:r>
      <w:r>
        <w:rPr>
          <w:rFonts w:hint="eastAsia"/>
          <w:sz w:val="28"/>
          <w:szCs w:val="28"/>
          <w:u w:val="single"/>
          <w:lang w:val="en-US" w:eastAsia="zh-CN"/>
        </w:rPr>
        <w:t xml:space="preserve">     </w:t>
      </w:r>
      <w:r>
        <w:rPr>
          <w:rFonts w:hint="eastAsia"/>
          <w:sz w:val="28"/>
          <w:szCs w:val="28"/>
          <w:u w:val="none"/>
          <w:lang w:val="en-US" w:eastAsia="zh-CN"/>
        </w:rPr>
        <w:t>签字确认，并加盖甲乙双方公章后作为有效结算依据。结算办理完成后一个月内付清运输款项。</w:t>
      </w:r>
    </w:p>
    <w:p w14:paraId="58C0CEC7">
      <w:pPr>
        <w:rPr>
          <w:rFonts w:hint="eastAsia"/>
          <w:sz w:val="28"/>
          <w:szCs w:val="28"/>
        </w:rPr>
      </w:pPr>
      <w:r>
        <w:rPr>
          <w:rFonts w:hint="eastAsia"/>
          <w:sz w:val="28"/>
          <w:szCs w:val="28"/>
        </w:rPr>
        <w:t>3.2 付款方式：甲方通过银行转账方式支付至乙方指定账户，乙方账户信息如下：</w:t>
      </w:r>
    </w:p>
    <w:p w14:paraId="133B2C09">
      <w:pPr>
        <w:rPr>
          <w:rFonts w:hint="eastAsia"/>
          <w:sz w:val="28"/>
          <w:szCs w:val="28"/>
        </w:rPr>
      </w:pPr>
      <w:r>
        <w:rPr>
          <w:rFonts w:hint="eastAsia"/>
          <w:sz w:val="28"/>
          <w:szCs w:val="28"/>
        </w:rPr>
        <w:t xml:space="preserve"> </w:t>
      </w:r>
    </w:p>
    <w:p w14:paraId="7B219D1C">
      <w:pPr>
        <w:ind w:firstLine="560" w:firstLineChars="200"/>
        <w:rPr>
          <w:rFonts w:hint="eastAsia"/>
          <w:sz w:val="28"/>
          <w:szCs w:val="28"/>
        </w:rPr>
      </w:pPr>
      <w:r>
        <w:rPr>
          <w:rFonts w:hint="eastAsia"/>
          <w:sz w:val="28"/>
          <w:szCs w:val="28"/>
        </w:rPr>
        <w:t>开户名称：________________</w:t>
      </w:r>
    </w:p>
    <w:p w14:paraId="75E9D4D9">
      <w:pPr>
        <w:rPr>
          <w:rFonts w:hint="eastAsia"/>
          <w:sz w:val="28"/>
          <w:szCs w:val="28"/>
        </w:rPr>
      </w:pPr>
      <w:r>
        <w:rPr>
          <w:rFonts w:hint="eastAsia"/>
          <w:sz w:val="28"/>
          <w:szCs w:val="28"/>
          <w:lang w:val="en-US" w:eastAsia="zh-CN"/>
        </w:rPr>
        <w:t xml:space="preserve">   </w:t>
      </w:r>
      <w:r>
        <w:rPr>
          <w:rFonts w:hint="eastAsia"/>
          <w:sz w:val="28"/>
          <w:szCs w:val="28"/>
        </w:rPr>
        <w:t xml:space="preserve"> 开户行：________________</w:t>
      </w:r>
    </w:p>
    <w:p w14:paraId="1AA2BDBB">
      <w:pPr>
        <w:ind w:firstLine="560" w:firstLineChars="200"/>
        <w:rPr>
          <w:rFonts w:hint="eastAsia"/>
          <w:sz w:val="28"/>
          <w:szCs w:val="28"/>
        </w:rPr>
      </w:pPr>
      <w:r>
        <w:rPr>
          <w:rFonts w:hint="eastAsia"/>
          <w:sz w:val="28"/>
          <w:szCs w:val="28"/>
        </w:rPr>
        <w:t>银行账号：________________</w:t>
      </w:r>
    </w:p>
    <w:p w14:paraId="41345D9A">
      <w:pPr>
        <w:rPr>
          <w:rFonts w:hint="eastAsia"/>
          <w:sz w:val="28"/>
          <w:szCs w:val="28"/>
        </w:rPr>
      </w:pPr>
      <w:r>
        <w:rPr>
          <w:rFonts w:hint="eastAsia"/>
          <w:sz w:val="28"/>
          <w:szCs w:val="28"/>
        </w:rPr>
        <w:t>3.3 若因乙方账户信息错误导致款项无法支付，由此产生的责任及损失由乙方承担。</w:t>
      </w:r>
    </w:p>
    <w:p w14:paraId="0AAA6479">
      <w:pPr>
        <w:rPr>
          <w:rFonts w:hint="eastAsia"/>
          <w:sz w:val="28"/>
          <w:szCs w:val="28"/>
        </w:rPr>
      </w:pPr>
      <w:r>
        <w:rPr>
          <w:rFonts w:hint="eastAsia"/>
          <w:sz w:val="28"/>
          <w:szCs w:val="28"/>
        </w:rPr>
        <w:t>第四条 发票开具</w:t>
      </w:r>
    </w:p>
    <w:p w14:paraId="6D67BB19">
      <w:pPr>
        <w:rPr>
          <w:rFonts w:hint="eastAsia"/>
          <w:sz w:val="28"/>
          <w:szCs w:val="28"/>
        </w:rPr>
      </w:pPr>
      <w:r>
        <w:rPr>
          <w:rFonts w:hint="eastAsia"/>
          <w:sz w:val="28"/>
          <w:szCs w:val="28"/>
        </w:rPr>
        <w:t>4.1 乙方应在甲方付款前开具合法有效的 增值税专用发票（税率9%），发票内容需与实际运输服务一致。发票信息如下：</w:t>
      </w:r>
    </w:p>
    <w:p w14:paraId="6DC8548C">
      <w:pPr>
        <w:rPr>
          <w:rFonts w:hint="eastAsia"/>
          <w:sz w:val="28"/>
          <w:szCs w:val="28"/>
        </w:rPr>
      </w:pPr>
      <w:r>
        <w:rPr>
          <w:rFonts w:hint="eastAsia"/>
          <w:sz w:val="28"/>
          <w:szCs w:val="28"/>
        </w:rPr>
        <w:t>- 甲方名称：重庆市巴南建设（集团）有限公司</w:t>
      </w:r>
    </w:p>
    <w:p w14:paraId="3D0BFA7D">
      <w:pPr>
        <w:rPr>
          <w:rFonts w:hint="eastAsia"/>
          <w:sz w:val="28"/>
          <w:szCs w:val="28"/>
        </w:rPr>
      </w:pPr>
      <w:r>
        <w:rPr>
          <w:rFonts w:hint="eastAsia"/>
          <w:sz w:val="28"/>
          <w:szCs w:val="28"/>
        </w:rPr>
        <w:t>- 纳税人识别号：91500113203436859R</w:t>
      </w:r>
    </w:p>
    <w:p w14:paraId="13066623">
      <w:pPr>
        <w:rPr>
          <w:rFonts w:hint="eastAsia"/>
          <w:sz w:val="28"/>
          <w:szCs w:val="28"/>
        </w:rPr>
      </w:pPr>
      <w:r>
        <w:rPr>
          <w:rFonts w:hint="eastAsia"/>
          <w:sz w:val="28"/>
          <w:szCs w:val="28"/>
        </w:rPr>
        <w:t>- 地址、电话：________________</w:t>
      </w:r>
    </w:p>
    <w:p w14:paraId="3BC772C4">
      <w:pPr>
        <w:rPr>
          <w:rFonts w:hint="eastAsia"/>
          <w:sz w:val="28"/>
          <w:szCs w:val="28"/>
        </w:rPr>
      </w:pPr>
      <w:r>
        <w:rPr>
          <w:rFonts w:hint="eastAsia"/>
          <w:sz w:val="28"/>
          <w:szCs w:val="28"/>
        </w:rPr>
        <w:t>- 开户行及账号：________________</w:t>
      </w:r>
    </w:p>
    <w:p w14:paraId="1D6E9FEE">
      <w:pPr>
        <w:rPr>
          <w:rFonts w:hint="eastAsia"/>
          <w:sz w:val="28"/>
          <w:szCs w:val="28"/>
        </w:rPr>
      </w:pPr>
      <w:r>
        <w:rPr>
          <w:rFonts w:hint="eastAsia"/>
          <w:sz w:val="28"/>
          <w:szCs w:val="28"/>
        </w:rPr>
        <w:t>4.2 若乙方提供的发票不符合税务规定，导致甲方无法抵扣或遭受税务处罚的，乙方应赔偿甲方全部损失，并重新开具合规发票。</w:t>
      </w:r>
    </w:p>
    <w:p w14:paraId="0501C829">
      <w:pPr>
        <w:rPr>
          <w:rFonts w:hint="eastAsia"/>
          <w:sz w:val="28"/>
          <w:szCs w:val="28"/>
        </w:rPr>
      </w:pPr>
      <w:r>
        <w:rPr>
          <w:rFonts w:hint="eastAsia"/>
          <w:sz w:val="28"/>
          <w:szCs w:val="28"/>
        </w:rPr>
        <w:t>第五条 双方权利义务</w:t>
      </w:r>
    </w:p>
    <w:p w14:paraId="525F4BAA">
      <w:pPr>
        <w:rPr>
          <w:rFonts w:hint="eastAsia"/>
          <w:sz w:val="28"/>
          <w:szCs w:val="28"/>
        </w:rPr>
      </w:pPr>
      <w:r>
        <w:rPr>
          <w:rFonts w:hint="eastAsia"/>
          <w:sz w:val="28"/>
          <w:szCs w:val="28"/>
        </w:rPr>
        <w:t>5.1 甲方权利义务</w:t>
      </w:r>
    </w:p>
    <w:p w14:paraId="726CEBDF">
      <w:pPr>
        <w:rPr>
          <w:rFonts w:hint="eastAsia"/>
          <w:sz w:val="28"/>
          <w:szCs w:val="28"/>
        </w:rPr>
      </w:pPr>
      <w:r>
        <w:rPr>
          <w:rFonts w:hint="eastAsia"/>
          <w:sz w:val="28"/>
          <w:szCs w:val="28"/>
          <w:lang w:val="en-US" w:eastAsia="zh-CN"/>
        </w:rPr>
        <w:t xml:space="preserve"> </w:t>
      </w:r>
      <w:r>
        <w:rPr>
          <w:rFonts w:hint="eastAsia"/>
          <w:sz w:val="28"/>
          <w:szCs w:val="28"/>
        </w:rPr>
        <w:t xml:space="preserve"> 有权要求乙方按约定标准完成运输任务，对不符合要求的服务提出整改意见。</w:t>
      </w:r>
    </w:p>
    <w:p w14:paraId="22A64B3D">
      <w:pPr>
        <w:rPr>
          <w:rFonts w:hint="eastAsia"/>
          <w:sz w:val="28"/>
          <w:szCs w:val="28"/>
        </w:rPr>
      </w:pPr>
      <w:r>
        <w:rPr>
          <w:rFonts w:hint="eastAsia"/>
          <w:sz w:val="28"/>
          <w:szCs w:val="28"/>
          <w:lang w:val="en-US" w:eastAsia="zh-CN"/>
        </w:rPr>
        <w:t xml:space="preserve"> </w:t>
      </w:r>
      <w:r>
        <w:rPr>
          <w:rFonts w:hint="eastAsia"/>
          <w:sz w:val="28"/>
          <w:szCs w:val="28"/>
        </w:rPr>
        <w:t xml:space="preserve"> 提前 24小时 以书面或电子形式通知乙方运输任务，并提供准确货物信息、装卸要求及运输路线。</w:t>
      </w:r>
    </w:p>
    <w:p w14:paraId="26DDBCC5">
      <w:pPr>
        <w:rPr>
          <w:rFonts w:hint="eastAsia"/>
          <w:sz w:val="28"/>
          <w:szCs w:val="28"/>
        </w:rPr>
      </w:pPr>
      <w:r>
        <w:rPr>
          <w:rFonts w:hint="eastAsia"/>
          <w:sz w:val="28"/>
          <w:szCs w:val="28"/>
          <w:lang w:val="en-US" w:eastAsia="zh-CN"/>
        </w:rPr>
        <w:t xml:space="preserve"> </w:t>
      </w:r>
      <w:r>
        <w:rPr>
          <w:rFonts w:hint="eastAsia"/>
          <w:sz w:val="28"/>
          <w:szCs w:val="28"/>
        </w:rPr>
        <w:t xml:space="preserve"> 按约定及时验收运输服务，完成费用结算与支付。</w:t>
      </w:r>
    </w:p>
    <w:p w14:paraId="1846CD7F">
      <w:pPr>
        <w:rPr>
          <w:rFonts w:hint="eastAsia"/>
          <w:sz w:val="28"/>
          <w:szCs w:val="28"/>
        </w:rPr>
      </w:pPr>
      <w:r>
        <w:rPr>
          <w:rFonts w:hint="eastAsia"/>
          <w:sz w:val="28"/>
          <w:szCs w:val="28"/>
        </w:rPr>
        <w:t>5.2 乙方权利义务</w:t>
      </w:r>
    </w:p>
    <w:p w14:paraId="0C65BC21">
      <w:pPr>
        <w:ind w:firstLine="280" w:firstLineChars="100"/>
        <w:rPr>
          <w:rFonts w:hint="eastAsia"/>
          <w:sz w:val="28"/>
          <w:szCs w:val="28"/>
        </w:rPr>
      </w:pPr>
      <w:r>
        <w:rPr>
          <w:rFonts w:hint="eastAsia"/>
          <w:sz w:val="28"/>
          <w:szCs w:val="28"/>
        </w:rPr>
        <w:t>有权要求甲方按约定支付运输费用。</w:t>
      </w:r>
    </w:p>
    <w:p w14:paraId="432699B3">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确保运输车辆、设备符合国家技术标准及环保要求，驾驶员具备相应从业资格证。</w:t>
      </w:r>
    </w:p>
    <w:p w14:paraId="3F96B0CE">
      <w:pPr>
        <w:ind w:firstLine="280" w:firstLineChars="100"/>
        <w:rPr>
          <w:rFonts w:hint="eastAsia"/>
          <w:sz w:val="28"/>
          <w:szCs w:val="28"/>
        </w:rPr>
      </w:pPr>
      <w:r>
        <w:rPr>
          <w:rFonts w:hint="eastAsia"/>
          <w:sz w:val="28"/>
          <w:szCs w:val="28"/>
        </w:rPr>
        <w:t>对运输过程中货物的损毁、灭失、短缺承担赔偿责任（因不可抗力、货物自身缺陷等非乙方原因除外）。</w:t>
      </w:r>
    </w:p>
    <w:p w14:paraId="59CF9FB6">
      <w:pPr>
        <w:ind w:firstLine="280" w:firstLineChars="100"/>
        <w:rPr>
          <w:rFonts w:hint="eastAsia"/>
          <w:sz w:val="28"/>
          <w:szCs w:val="28"/>
        </w:rPr>
      </w:pPr>
      <w:r>
        <w:rPr>
          <w:rFonts w:hint="eastAsia"/>
          <w:sz w:val="28"/>
          <w:szCs w:val="28"/>
        </w:rPr>
        <w:t>自行承担运输途中的交通事故、违章处罚、车辆维修等费用及责任，并确保不影响甲方运输任务。</w:t>
      </w:r>
    </w:p>
    <w:p w14:paraId="7FC14F9A">
      <w:pPr>
        <w:rPr>
          <w:rFonts w:hint="eastAsia"/>
          <w:sz w:val="28"/>
          <w:szCs w:val="28"/>
        </w:rPr>
      </w:pPr>
      <w:r>
        <w:rPr>
          <w:rFonts w:hint="eastAsia"/>
          <w:sz w:val="28"/>
          <w:szCs w:val="28"/>
        </w:rPr>
        <w:t>第六条 违约责任</w:t>
      </w:r>
    </w:p>
    <w:p w14:paraId="149A1B59">
      <w:pPr>
        <w:ind w:left="560" w:hanging="560" w:hangingChars="200"/>
        <w:rPr>
          <w:rFonts w:hint="eastAsia"/>
          <w:sz w:val="28"/>
          <w:szCs w:val="28"/>
          <w:u w:val="single"/>
          <w:lang w:val="en-US" w:eastAsia="zh-CN"/>
        </w:rPr>
      </w:pPr>
      <w:r>
        <w:rPr>
          <w:rFonts w:hint="eastAsia"/>
          <w:sz w:val="28"/>
          <w:szCs w:val="28"/>
        </w:rPr>
        <w:t>6.1 若乙方未按时完成运输任务，每逾期一日，按该次运输费用的</w:t>
      </w:r>
      <w:r>
        <w:rPr>
          <w:rFonts w:hint="eastAsia"/>
          <w:sz w:val="28"/>
          <w:szCs w:val="28"/>
          <w:u w:val="single"/>
          <w:lang w:val="en-US" w:eastAsia="zh-CN"/>
        </w:rPr>
        <w:t xml:space="preserve">  </w:t>
      </w:r>
    </w:p>
    <w:p w14:paraId="6FA9DBF3">
      <w:pPr>
        <w:rPr>
          <w:rFonts w:hint="eastAsia"/>
          <w:sz w:val="28"/>
          <w:szCs w:val="28"/>
        </w:rPr>
      </w:pPr>
      <w:r>
        <w:rPr>
          <w:rFonts w:hint="eastAsia"/>
          <w:sz w:val="28"/>
          <w:szCs w:val="28"/>
        </w:rPr>
        <w:t>支付违约金；逾期超5日的，甲方有权解除合同，并要求乙方</w:t>
      </w:r>
    </w:p>
    <w:p w14:paraId="7F331B60">
      <w:pPr>
        <w:rPr>
          <w:rFonts w:hint="eastAsia"/>
          <w:sz w:val="28"/>
          <w:szCs w:val="28"/>
        </w:rPr>
      </w:pPr>
      <w:r>
        <w:rPr>
          <w:rFonts w:hint="eastAsia"/>
          <w:sz w:val="28"/>
          <w:szCs w:val="28"/>
        </w:rPr>
        <w:t>赔偿实际损失。</w:t>
      </w:r>
    </w:p>
    <w:p w14:paraId="7EAB755E">
      <w:pPr>
        <w:rPr>
          <w:rFonts w:hint="eastAsia"/>
          <w:sz w:val="28"/>
          <w:szCs w:val="28"/>
        </w:rPr>
      </w:pPr>
      <w:r>
        <w:rPr>
          <w:rFonts w:hint="eastAsia"/>
          <w:sz w:val="28"/>
          <w:szCs w:val="28"/>
        </w:rPr>
        <w:t>6.2 因乙方原因导致货物损毁、灭失的，乙方应按货物市场价或甲方采购成本全额赔偿；造成其他间接损失的，乙方一并承担。</w:t>
      </w:r>
    </w:p>
    <w:p w14:paraId="0D6F0A04">
      <w:pPr>
        <w:rPr>
          <w:rFonts w:hint="eastAsia"/>
          <w:sz w:val="28"/>
          <w:szCs w:val="28"/>
        </w:rPr>
      </w:pPr>
      <w:r>
        <w:rPr>
          <w:rFonts w:hint="eastAsia"/>
          <w:sz w:val="28"/>
          <w:szCs w:val="28"/>
        </w:rPr>
        <w:t>6.3 若甲方无正当理由拖延结算或拒付费用，每逾期一日，按未付金额的</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向乙方支付滞纳金。</w:t>
      </w:r>
    </w:p>
    <w:p w14:paraId="5E1BFB26">
      <w:pPr>
        <w:rPr>
          <w:rFonts w:hint="eastAsia"/>
          <w:sz w:val="28"/>
          <w:szCs w:val="28"/>
        </w:rPr>
      </w:pPr>
      <w:r>
        <w:rPr>
          <w:rFonts w:hint="eastAsia"/>
          <w:sz w:val="28"/>
          <w:szCs w:val="28"/>
        </w:rPr>
        <w:t>第七条 争议解决</w:t>
      </w:r>
    </w:p>
    <w:p w14:paraId="5276E111">
      <w:pPr>
        <w:ind w:firstLine="280" w:firstLineChars="100"/>
        <w:rPr>
          <w:rFonts w:hint="eastAsia"/>
          <w:sz w:val="28"/>
          <w:szCs w:val="28"/>
        </w:rPr>
      </w:pPr>
      <w:r>
        <w:rPr>
          <w:rFonts w:hint="eastAsia"/>
          <w:sz w:val="28"/>
          <w:szCs w:val="28"/>
        </w:rPr>
        <w:t>本合同履行中发生争议，双方应协商解决；协商不成的，任何一方可向 甲方所在地 有管辖权的人民法院提起诉讼。</w:t>
      </w:r>
    </w:p>
    <w:p w14:paraId="6120C8ED">
      <w:pPr>
        <w:rPr>
          <w:rFonts w:hint="eastAsia"/>
          <w:sz w:val="28"/>
          <w:szCs w:val="28"/>
        </w:rPr>
      </w:pPr>
      <w:r>
        <w:rPr>
          <w:rFonts w:hint="eastAsia"/>
          <w:sz w:val="28"/>
          <w:szCs w:val="28"/>
        </w:rPr>
        <w:t>第八条 其他条款</w:t>
      </w:r>
    </w:p>
    <w:p w14:paraId="4945108F">
      <w:pPr>
        <w:rPr>
          <w:rFonts w:hint="eastAsia"/>
          <w:sz w:val="28"/>
          <w:szCs w:val="28"/>
        </w:rPr>
      </w:pPr>
      <w:r>
        <w:rPr>
          <w:rFonts w:hint="eastAsia"/>
          <w:sz w:val="28"/>
          <w:szCs w:val="28"/>
        </w:rPr>
        <w:t>8.1 本合同自双方签字盖章之日起生效。</w:t>
      </w:r>
    </w:p>
    <w:p w14:paraId="76F9DD3F">
      <w:pPr>
        <w:rPr>
          <w:rFonts w:hint="eastAsia"/>
          <w:sz w:val="28"/>
          <w:szCs w:val="28"/>
        </w:rPr>
      </w:pPr>
      <w:r>
        <w:rPr>
          <w:rFonts w:hint="eastAsia"/>
          <w:sz w:val="28"/>
          <w:szCs w:val="28"/>
        </w:rPr>
        <w:t>8.2 本合同未尽事宜，双方可签订补充协议，补充协议与本合同具有同等效力。</w:t>
      </w:r>
    </w:p>
    <w:p w14:paraId="3F1076D0">
      <w:pPr>
        <w:rPr>
          <w:rFonts w:hint="eastAsia"/>
          <w:sz w:val="28"/>
          <w:szCs w:val="28"/>
        </w:rPr>
      </w:pPr>
      <w:r>
        <w:rPr>
          <w:rFonts w:hint="eastAsia"/>
          <w:sz w:val="28"/>
          <w:szCs w:val="28"/>
        </w:rPr>
        <w:t>8.3 本合同一式</w:t>
      </w:r>
      <w:r>
        <w:rPr>
          <w:rFonts w:hint="eastAsia"/>
          <w:sz w:val="28"/>
          <w:szCs w:val="28"/>
          <w:lang w:val="en-US" w:eastAsia="zh-CN"/>
        </w:rPr>
        <w:t>伍</w:t>
      </w:r>
      <w:r>
        <w:rPr>
          <w:rFonts w:hint="eastAsia"/>
          <w:sz w:val="28"/>
          <w:szCs w:val="28"/>
        </w:rPr>
        <w:t>份，甲</w:t>
      </w:r>
      <w:r>
        <w:rPr>
          <w:rFonts w:hint="eastAsia"/>
          <w:sz w:val="28"/>
          <w:szCs w:val="28"/>
          <w:lang w:val="en-US" w:eastAsia="zh-CN"/>
        </w:rPr>
        <w:t>方执叁份，</w:t>
      </w:r>
      <w:r>
        <w:rPr>
          <w:rFonts w:hint="eastAsia"/>
          <w:sz w:val="28"/>
          <w:szCs w:val="28"/>
        </w:rPr>
        <w:t>乙执</w:t>
      </w:r>
      <w:r>
        <w:rPr>
          <w:rFonts w:hint="eastAsia"/>
          <w:sz w:val="28"/>
          <w:szCs w:val="28"/>
          <w:lang w:val="en-US" w:eastAsia="zh-CN"/>
        </w:rPr>
        <w:t>贰</w:t>
      </w:r>
      <w:r>
        <w:rPr>
          <w:rFonts w:hint="eastAsia"/>
          <w:sz w:val="28"/>
          <w:szCs w:val="28"/>
        </w:rPr>
        <w:t>份，具有同等法律效力。</w:t>
      </w:r>
    </w:p>
    <w:p w14:paraId="32DC69A6">
      <w:pPr>
        <w:rPr>
          <w:rFonts w:hint="eastAsia"/>
          <w:sz w:val="28"/>
          <w:szCs w:val="28"/>
        </w:rPr>
      </w:pPr>
      <w:r>
        <w:rPr>
          <w:rFonts w:hint="eastAsia"/>
          <w:sz w:val="28"/>
          <w:szCs w:val="28"/>
        </w:rPr>
        <w:t xml:space="preserve"> </w:t>
      </w:r>
    </w:p>
    <w:p w14:paraId="143EA621">
      <w:pPr>
        <w:rPr>
          <w:rFonts w:hint="eastAsia"/>
          <w:sz w:val="28"/>
          <w:szCs w:val="28"/>
        </w:rPr>
      </w:pPr>
      <w:r>
        <w:rPr>
          <w:rFonts w:hint="eastAsia"/>
          <w:sz w:val="28"/>
          <w:szCs w:val="28"/>
        </w:rPr>
        <w:t>甲方（盖章）：__________________</w:t>
      </w:r>
    </w:p>
    <w:p w14:paraId="4D85057C">
      <w:pPr>
        <w:rPr>
          <w:rFonts w:hint="eastAsia"/>
          <w:sz w:val="28"/>
          <w:szCs w:val="28"/>
        </w:rPr>
      </w:pPr>
      <w:r>
        <w:rPr>
          <w:rFonts w:hint="eastAsia"/>
          <w:sz w:val="28"/>
          <w:szCs w:val="28"/>
        </w:rPr>
        <w:t>法定代表人/</w:t>
      </w:r>
      <w:r>
        <w:rPr>
          <w:rFonts w:hint="eastAsia"/>
          <w:sz w:val="28"/>
          <w:szCs w:val="28"/>
          <w:lang w:val="en-US" w:eastAsia="zh-CN"/>
        </w:rPr>
        <w:t>经办人</w:t>
      </w:r>
      <w:r>
        <w:rPr>
          <w:rFonts w:hint="eastAsia"/>
          <w:sz w:val="28"/>
          <w:szCs w:val="28"/>
        </w:rPr>
        <w:t>：___</w:t>
      </w:r>
    </w:p>
    <w:p w14:paraId="2ECDAFF6">
      <w:pPr>
        <w:rPr>
          <w:rFonts w:hint="eastAsia"/>
          <w:sz w:val="28"/>
          <w:szCs w:val="28"/>
        </w:rPr>
      </w:pPr>
      <w:r>
        <w:rPr>
          <w:rFonts w:hint="eastAsia"/>
          <w:sz w:val="28"/>
          <w:szCs w:val="28"/>
        </w:rPr>
        <w:t>签订日期：______年____月____日</w:t>
      </w:r>
    </w:p>
    <w:p w14:paraId="24A66E56">
      <w:pPr>
        <w:rPr>
          <w:rFonts w:hint="eastAsia"/>
          <w:sz w:val="28"/>
          <w:szCs w:val="28"/>
        </w:rPr>
      </w:pPr>
      <w:r>
        <w:rPr>
          <w:rFonts w:hint="eastAsia"/>
          <w:sz w:val="28"/>
          <w:szCs w:val="28"/>
        </w:rPr>
        <w:t xml:space="preserve"> </w:t>
      </w:r>
    </w:p>
    <w:p w14:paraId="31767190">
      <w:pPr>
        <w:rPr>
          <w:rFonts w:hint="eastAsia"/>
          <w:sz w:val="28"/>
          <w:szCs w:val="28"/>
        </w:rPr>
      </w:pPr>
      <w:r>
        <w:rPr>
          <w:rFonts w:hint="eastAsia"/>
          <w:sz w:val="28"/>
          <w:szCs w:val="28"/>
        </w:rPr>
        <w:t>乙方（盖章）：__________________</w:t>
      </w:r>
    </w:p>
    <w:p w14:paraId="6CBDAC10">
      <w:pPr>
        <w:rPr>
          <w:rFonts w:hint="eastAsia"/>
          <w:sz w:val="28"/>
          <w:szCs w:val="28"/>
        </w:rPr>
      </w:pPr>
      <w:r>
        <w:rPr>
          <w:rFonts w:hint="eastAsia"/>
          <w:sz w:val="28"/>
          <w:szCs w:val="28"/>
        </w:rPr>
        <w:t>法定代表人/授权代表（签字）：___</w:t>
      </w:r>
    </w:p>
    <w:p w14:paraId="29F3361D">
      <w:pPr>
        <w:rPr>
          <w:rFonts w:hint="eastAsia"/>
          <w:sz w:val="28"/>
          <w:szCs w:val="28"/>
          <w:lang w:val="en-US" w:eastAsia="zh-CN"/>
        </w:rPr>
      </w:pPr>
      <w:r>
        <w:rPr>
          <w:rFonts w:hint="eastAsia"/>
          <w:sz w:val="28"/>
          <w:szCs w:val="28"/>
        </w:rPr>
        <w:t>签订日期：______年____月____日</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43DCA"/>
    <w:multiLevelType w:val="singleLevel"/>
    <w:tmpl w:val="BBC43DCA"/>
    <w:lvl w:ilvl="0" w:tentative="0">
      <w:start w:val="1"/>
      <w:numFmt w:val="decimal"/>
      <w:suff w:val="nothing"/>
      <w:lvlText w:val="%1、"/>
      <w:lvlJc w:val="left"/>
    </w:lvl>
  </w:abstractNum>
  <w:abstractNum w:abstractNumId="1">
    <w:nsid w:val="27B15CA6"/>
    <w:multiLevelType w:val="singleLevel"/>
    <w:tmpl w:val="27B15CA6"/>
    <w:lvl w:ilvl="0" w:tentative="0">
      <w:start w:val="2"/>
      <w:numFmt w:val="chineseCounting"/>
      <w:suff w:val="nothing"/>
      <w:lvlText w:val="（%1）"/>
      <w:lvlJc w:val="left"/>
      <w:rPr>
        <w:rFonts w:hint="eastAsia"/>
      </w:rPr>
    </w:lvl>
  </w:abstractNum>
  <w:abstractNum w:abstractNumId="2">
    <w:nsid w:val="7D7A8638"/>
    <w:multiLevelType w:val="singleLevel"/>
    <w:tmpl w:val="7D7A863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72F6D5A"/>
    <w:rsid w:val="08103F1A"/>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334B09"/>
    <w:rsid w:val="17C8575E"/>
    <w:rsid w:val="18236F79"/>
    <w:rsid w:val="18484D2D"/>
    <w:rsid w:val="18711DF1"/>
    <w:rsid w:val="194734A8"/>
    <w:rsid w:val="195A572B"/>
    <w:rsid w:val="19782558"/>
    <w:rsid w:val="1A670100"/>
    <w:rsid w:val="1AD03EF7"/>
    <w:rsid w:val="1B7B7C62"/>
    <w:rsid w:val="1C6D37B2"/>
    <w:rsid w:val="1D0862C4"/>
    <w:rsid w:val="1D4F3C94"/>
    <w:rsid w:val="1E1660C5"/>
    <w:rsid w:val="1EAD059A"/>
    <w:rsid w:val="1F443106"/>
    <w:rsid w:val="1F702277"/>
    <w:rsid w:val="22142CD7"/>
    <w:rsid w:val="222D60D3"/>
    <w:rsid w:val="22C16148"/>
    <w:rsid w:val="22ED07D6"/>
    <w:rsid w:val="2329338C"/>
    <w:rsid w:val="248D136A"/>
    <w:rsid w:val="258E6E89"/>
    <w:rsid w:val="26D5191A"/>
    <w:rsid w:val="27CB6172"/>
    <w:rsid w:val="27ED433A"/>
    <w:rsid w:val="299802D6"/>
    <w:rsid w:val="29B5507B"/>
    <w:rsid w:val="2ACC441F"/>
    <w:rsid w:val="2B255B99"/>
    <w:rsid w:val="2C5F157F"/>
    <w:rsid w:val="2D223156"/>
    <w:rsid w:val="2D43072C"/>
    <w:rsid w:val="2D962D7E"/>
    <w:rsid w:val="2E3A5D54"/>
    <w:rsid w:val="2E717677"/>
    <w:rsid w:val="2F30194A"/>
    <w:rsid w:val="2FB219C5"/>
    <w:rsid w:val="30146243"/>
    <w:rsid w:val="30B646E0"/>
    <w:rsid w:val="30EE052C"/>
    <w:rsid w:val="315E1705"/>
    <w:rsid w:val="31C14142"/>
    <w:rsid w:val="32FE1331"/>
    <w:rsid w:val="33086BB0"/>
    <w:rsid w:val="33124615"/>
    <w:rsid w:val="343B6E3A"/>
    <w:rsid w:val="361129B7"/>
    <w:rsid w:val="363543E1"/>
    <w:rsid w:val="369D3C9F"/>
    <w:rsid w:val="37491AF0"/>
    <w:rsid w:val="38AE64AA"/>
    <w:rsid w:val="38F940FF"/>
    <w:rsid w:val="391D25A6"/>
    <w:rsid w:val="39F257E0"/>
    <w:rsid w:val="3ADD7422"/>
    <w:rsid w:val="3B4F1C41"/>
    <w:rsid w:val="3BB019F4"/>
    <w:rsid w:val="3C641028"/>
    <w:rsid w:val="3CF326B0"/>
    <w:rsid w:val="3D2E4140"/>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9E63FBC"/>
    <w:rsid w:val="4A5D4498"/>
    <w:rsid w:val="4AC324AC"/>
    <w:rsid w:val="4B5A0085"/>
    <w:rsid w:val="4B8714A6"/>
    <w:rsid w:val="4C6A56AA"/>
    <w:rsid w:val="4CE658C2"/>
    <w:rsid w:val="4D744DC4"/>
    <w:rsid w:val="5117514C"/>
    <w:rsid w:val="51866B4A"/>
    <w:rsid w:val="52157ED4"/>
    <w:rsid w:val="523770E2"/>
    <w:rsid w:val="53741AD4"/>
    <w:rsid w:val="549A1100"/>
    <w:rsid w:val="55296276"/>
    <w:rsid w:val="555941EB"/>
    <w:rsid w:val="556C2493"/>
    <w:rsid w:val="558B324E"/>
    <w:rsid w:val="573C5E95"/>
    <w:rsid w:val="579A36A5"/>
    <w:rsid w:val="581A4287"/>
    <w:rsid w:val="58ED7447"/>
    <w:rsid w:val="59254E33"/>
    <w:rsid w:val="59B01386"/>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632DB5"/>
    <w:rsid w:val="66CD4D5B"/>
    <w:rsid w:val="67F171E5"/>
    <w:rsid w:val="683A194D"/>
    <w:rsid w:val="68606EB7"/>
    <w:rsid w:val="686C341A"/>
    <w:rsid w:val="697D7D7A"/>
    <w:rsid w:val="6B151DC0"/>
    <w:rsid w:val="6CEA69A8"/>
    <w:rsid w:val="6D1C788E"/>
    <w:rsid w:val="6DB4632D"/>
    <w:rsid w:val="708C5A36"/>
    <w:rsid w:val="708D7834"/>
    <w:rsid w:val="70E138DD"/>
    <w:rsid w:val="736F0C58"/>
    <w:rsid w:val="74933FD6"/>
    <w:rsid w:val="781B448B"/>
    <w:rsid w:val="78A51694"/>
    <w:rsid w:val="78E0447A"/>
    <w:rsid w:val="78EA354B"/>
    <w:rsid w:val="79A463A3"/>
    <w:rsid w:val="79C312C8"/>
    <w:rsid w:val="7ABB0CFB"/>
    <w:rsid w:val="7B0B0CD0"/>
    <w:rsid w:val="7B6A6305"/>
    <w:rsid w:val="7CAD78C0"/>
    <w:rsid w:val="7CE968EA"/>
    <w:rsid w:val="7E4F77C2"/>
    <w:rsid w:val="7E952C57"/>
    <w:rsid w:val="7EA00324"/>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3721</Words>
  <Characters>4112</Characters>
  <Lines>0</Lines>
  <Paragraphs>0</Paragraphs>
  <TotalTime>50</TotalTime>
  <ScaleCrop>false</ScaleCrop>
  <LinksUpToDate>false</LinksUpToDate>
  <CharactersWithSpaces>5422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2025-05-29T07:50:06Z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C5376738D583483F97ECB2A1A11894E8_13</vt:lpwstr>
  </property>
  <property fmtid="{D5CDD505-2E9C-101B-9397-08002B2CF9AE}" pid="4" name="KSOTemplateDocerSaveRecord">
    <vt:lpwstr>eyJoZGlkIjoiZDdlMDk4ZjczZjM4NmUwNmUwODAxYWRmYTE1ODJiZjIiLCJ1c2VySWQiOiIyMjg2NTc0NTcifQ==</vt:lpwstr>
  </property>
</Properties>
</file>